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4597C" w:rsidRPr="00BF1357" w:rsidRDefault="002A3CD3" w:rsidP="0074597C">
      <w:pPr>
        <w:pStyle w:val="NormalWeb"/>
        <w:spacing w:before="0" w:beforeAutospacing="0" w:after="0" w:afterAutospacing="0"/>
        <w:jc w:val="both"/>
        <w:rPr>
          <w:rFonts w:ascii="Arial" w:hAnsi="Arial" w:cs="Arial"/>
          <w:b/>
          <w:bCs/>
          <w:caps/>
          <w:color w:val="002F5D"/>
        </w:rPr>
      </w:pPr>
      <w:r w:rsidRPr="00BF1357">
        <w:rPr>
          <w:rFonts w:ascii="Arial" w:hAnsi="Arial" w:cs="Arial"/>
          <w:b/>
          <w:bCs/>
          <w:caps/>
          <w:color w:val="002F5D"/>
        </w:rPr>
        <w:t>LEGISLACION</w:t>
      </w:r>
    </w:p>
    <w:p w:rsidR="002A3CD3" w:rsidRDefault="002A3CD3" w:rsidP="0074597C">
      <w:pPr>
        <w:pStyle w:val="NormalWeb"/>
        <w:spacing w:before="0" w:beforeAutospacing="0" w:after="0" w:afterAutospacing="0"/>
        <w:jc w:val="both"/>
        <w:rPr>
          <w:rFonts w:ascii="Arial" w:hAnsi="Arial" w:cs="Arial"/>
          <w:b/>
          <w:bCs/>
          <w:caps/>
          <w:color w:val="002F5D"/>
          <w:sz w:val="21"/>
          <w:szCs w:val="21"/>
        </w:rPr>
      </w:pPr>
    </w:p>
    <w:p w:rsidR="00BF1357" w:rsidRPr="00BF1357" w:rsidRDefault="00BF1357" w:rsidP="00BF1357">
      <w:pPr>
        <w:pStyle w:val="NormalWeb"/>
        <w:spacing w:before="0" w:beforeAutospacing="0" w:after="0" w:afterAutospacing="0"/>
        <w:jc w:val="both"/>
        <w:rPr>
          <w:rFonts w:ascii="Arial" w:hAnsi="Arial" w:cs="Arial"/>
          <w:b/>
          <w:bCs/>
          <w:caps/>
          <w:color w:val="002F5D"/>
          <w:sz w:val="21"/>
          <w:szCs w:val="21"/>
        </w:rPr>
      </w:pPr>
      <w:r w:rsidRPr="00BF1357">
        <w:rPr>
          <w:rFonts w:ascii="Arial" w:hAnsi="Arial" w:cs="Arial"/>
          <w:b/>
          <w:bCs/>
          <w:caps/>
          <w:color w:val="002F5D"/>
          <w:sz w:val="21"/>
          <w:szCs w:val="21"/>
        </w:rPr>
        <w:t>Implementación del código QR en las facturas electrónicas - RESOLUCIÓN GENERAL (Adm. Fed. Ingresos Públicos) 4892</w:t>
      </w:r>
    </w:p>
    <w:p w:rsidR="004F19F5" w:rsidRDefault="004F19F5" w:rsidP="004F19F5">
      <w:pPr>
        <w:pStyle w:val="NormalWeb"/>
        <w:spacing w:before="0" w:beforeAutospacing="0" w:after="0" w:afterAutospacing="0"/>
        <w:jc w:val="both"/>
        <w:rPr>
          <w:rFonts w:ascii="Arial" w:hAnsi="Arial" w:cs="Arial"/>
          <w:b/>
          <w:bCs/>
          <w:caps/>
          <w:color w:val="002F5D"/>
          <w:sz w:val="21"/>
          <w:szCs w:val="21"/>
        </w:rPr>
      </w:pPr>
    </w:p>
    <w:p w:rsidR="004F19F5" w:rsidRDefault="004F19F5" w:rsidP="004F19F5">
      <w:pPr>
        <w:pStyle w:val="NormalWeb"/>
        <w:spacing w:before="0" w:beforeAutospacing="0" w:after="0" w:afterAutospacing="0"/>
        <w:jc w:val="both"/>
        <w:rPr>
          <w:rFonts w:ascii="Arial" w:hAnsi="Arial" w:cs="Arial"/>
          <w:b/>
          <w:bCs/>
          <w:caps/>
          <w:color w:val="002F5D"/>
          <w:sz w:val="21"/>
          <w:szCs w:val="21"/>
        </w:rPr>
      </w:pPr>
    </w:p>
    <w:p w:rsidR="00BF1357" w:rsidRDefault="00BF1357" w:rsidP="007A076D">
      <w:pPr>
        <w:pStyle w:val="NormalWeb"/>
        <w:spacing w:before="0" w:beforeAutospacing="0" w:after="0" w:afterAutospacing="0" w:line="360" w:lineRule="auto"/>
        <w:jc w:val="both"/>
        <w:rPr>
          <w:iCs/>
          <w:color w:val="1C1C1C"/>
        </w:rPr>
      </w:pPr>
      <w:r w:rsidRPr="00BF1357">
        <w:rPr>
          <w:iCs/>
          <w:color w:val="1C1C1C"/>
        </w:rPr>
        <w:t>Se establece la obligación de incorporar en los comprobantes electrónicos que se emitan la identificación de un código de respuesta rápida "QR".</w:t>
      </w:r>
    </w:p>
    <w:p w:rsidR="00BF1357" w:rsidRDefault="00BF1357" w:rsidP="007A076D">
      <w:pPr>
        <w:pStyle w:val="NormalWeb"/>
        <w:spacing w:before="0" w:beforeAutospacing="0" w:after="0" w:afterAutospacing="0" w:line="360" w:lineRule="auto"/>
        <w:jc w:val="both"/>
        <w:rPr>
          <w:iCs/>
          <w:color w:val="1C1C1C"/>
        </w:rPr>
      </w:pPr>
      <w:r w:rsidRPr="00BF1357">
        <w:rPr>
          <w:iCs/>
          <w:color w:val="1C1C1C"/>
        </w:rPr>
        <w:t xml:space="preserve">Se aclara que el código “QR” no deberá obstaculizar la visualización de los datos obligatorios de los comprobantes, los cuales deberán seguir apareciendo en los mismos. </w:t>
      </w:r>
      <w:r w:rsidRPr="00BF1357">
        <w:rPr>
          <w:iCs/>
          <w:color w:val="1C1C1C"/>
        </w:rPr>
        <w:br/>
        <w:t>En el caso de emitir comprobantes electrónicos mediante el servicio “Comprobantes en línea” y/o la aplicación “Facturador Móvil”, el propio sistema de la AFIP incorporará el código “QR” al comprobante autorizado.</w:t>
      </w:r>
    </w:p>
    <w:p w:rsidR="007A076D" w:rsidRDefault="00BF1357" w:rsidP="007A076D">
      <w:pPr>
        <w:pStyle w:val="NormalWeb"/>
        <w:spacing w:before="0" w:beforeAutospacing="0" w:after="0" w:afterAutospacing="0" w:line="360" w:lineRule="auto"/>
        <w:jc w:val="both"/>
        <w:rPr>
          <w:iCs/>
          <w:color w:val="1C1C1C"/>
        </w:rPr>
      </w:pPr>
      <w:r w:rsidRPr="00BF1357">
        <w:rPr>
          <w:iCs/>
          <w:color w:val="1C1C1C"/>
        </w:rPr>
        <w:t>Por último, señalamos que las presentes disposiciones resultan de aplicación a partir del 24/12/2020, excepto que se trate de sujetos que tramiten la autorización de emisión de comprobantes electrónicos mediante el intercambio de información basado en el “</w:t>
      </w:r>
      <w:proofErr w:type="spellStart"/>
      <w:r w:rsidRPr="00BF1357">
        <w:rPr>
          <w:iCs/>
          <w:color w:val="1C1C1C"/>
        </w:rPr>
        <w:t>WebService</w:t>
      </w:r>
      <w:proofErr w:type="spellEnd"/>
      <w:r w:rsidRPr="00BF1357">
        <w:rPr>
          <w:iCs/>
          <w:color w:val="1C1C1C"/>
        </w:rPr>
        <w:t>”. Para estos casos se dispuso un cronograma de aplicación que se extenderá desde el 1/3/2021 hasta el 1/6/2021, según el sujeto de que se trate</w:t>
      </w:r>
      <w:r>
        <w:rPr>
          <w:iCs/>
          <w:color w:val="1C1C1C"/>
        </w:rPr>
        <w:t>.</w:t>
      </w:r>
    </w:p>
    <w:p w:rsidR="00BF1357" w:rsidRDefault="00BF1357" w:rsidP="007A076D">
      <w:pPr>
        <w:pStyle w:val="NormalWeb"/>
        <w:spacing w:before="0" w:beforeAutospacing="0" w:after="0" w:afterAutospacing="0" w:line="360" w:lineRule="auto"/>
        <w:jc w:val="both"/>
        <w:rPr>
          <w:iCs/>
          <w:color w:val="1C1C1C"/>
        </w:rPr>
      </w:pPr>
    </w:p>
    <w:p w:rsidR="00BF1357" w:rsidRDefault="00BF1357" w:rsidP="00BF1357">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Se prorroga la vigencia transitoria del régimen de facilidades de pago permanente para acceder a mayores beneficios en los planes - </w:t>
      </w:r>
      <w:r w:rsidRPr="00BF1357">
        <w:rPr>
          <w:rFonts w:ascii="Arial" w:hAnsi="Arial" w:cs="Arial"/>
          <w:b/>
          <w:bCs/>
          <w:caps/>
          <w:color w:val="376889"/>
          <w:sz w:val="21"/>
          <w:szCs w:val="21"/>
        </w:rPr>
        <w:t>RESOLUCIÓN GENERAL (Adm. Fed. Ingresos Públicos) 4887</w:t>
      </w:r>
    </w:p>
    <w:p w:rsidR="00BF1357" w:rsidRPr="00BF1357" w:rsidRDefault="00BF1357" w:rsidP="00BF1357">
      <w:pPr>
        <w:pStyle w:val="NormalWeb"/>
        <w:spacing w:before="0" w:beforeAutospacing="0" w:after="0" w:afterAutospacing="0" w:line="360" w:lineRule="auto"/>
        <w:jc w:val="both"/>
        <w:rPr>
          <w:iCs/>
          <w:color w:val="1C1C1C"/>
        </w:rPr>
      </w:pPr>
    </w:p>
    <w:p w:rsidR="00BF1357" w:rsidRDefault="00BF1357" w:rsidP="00BF1357">
      <w:pPr>
        <w:pStyle w:val="NormalWeb"/>
        <w:spacing w:before="0" w:beforeAutospacing="0" w:after="0" w:afterAutospacing="0" w:line="360" w:lineRule="auto"/>
        <w:jc w:val="both"/>
        <w:rPr>
          <w:iCs/>
          <w:color w:val="1C1C1C"/>
        </w:rPr>
      </w:pPr>
      <w:r w:rsidRPr="00BF1357">
        <w:rPr>
          <w:iCs/>
          <w:color w:val="1C1C1C"/>
        </w:rPr>
        <w:t>Se prorroga al 31/1/2021 la vigencia transitoria del régimen de facilidades de pago permanente en relación con los mayores beneficios correspondientes a la cantidad de planes de facilidades de pago admisibles, la cantidad</w:t>
      </w:r>
      <w:r>
        <w:rPr>
          <w:iCs/>
          <w:color w:val="1C1C1C"/>
        </w:rPr>
        <w:t>.</w:t>
      </w:r>
    </w:p>
    <w:p w:rsidR="00BF1357" w:rsidRDefault="00BF1357" w:rsidP="00BF1357">
      <w:pPr>
        <w:pStyle w:val="NormalWeb"/>
        <w:spacing w:before="0" w:beforeAutospacing="0" w:after="0" w:afterAutospacing="0" w:line="360" w:lineRule="auto"/>
        <w:jc w:val="both"/>
        <w:rPr>
          <w:iCs/>
          <w:color w:val="1C1C1C"/>
        </w:rPr>
      </w:pPr>
    </w:p>
    <w:p w:rsidR="00BF1357" w:rsidRDefault="00BF1357" w:rsidP="00BF1357">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Procedimiento Fiscal. Cuenta especial repatriación de fondos de la moratoria ampliada. Se establece la información que deben suministrar a la AFIP las entidades financieras - </w:t>
      </w:r>
      <w:r w:rsidRPr="00BF1357">
        <w:rPr>
          <w:rFonts w:ascii="Arial" w:hAnsi="Arial" w:cs="Arial"/>
          <w:b/>
          <w:bCs/>
          <w:caps/>
          <w:color w:val="376889"/>
          <w:sz w:val="21"/>
          <w:szCs w:val="21"/>
        </w:rPr>
        <w:t>RESOLUCIÓN GENERAL (Adm. Fed. Ingresos Públicos) 4883</w:t>
      </w:r>
    </w:p>
    <w:p w:rsidR="00BF1357" w:rsidRDefault="00BF1357" w:rsidP="00BF1357">
      <w:pPr>
        <w:pStyle w:val="NormalWeb"/>
        <w:spacing w:before="0" w:beforeAutospacing="0" w:after="0" w:afterAutospacing="0"/>
        <w:jc w:val="both"/>
        <w:rPr>
          <w:rFonts w:ascii="Arial" w:hAnsi="Arial" w:cs="Arial"/>
          <w:b/>
          <w:bCs/>
          <w:caps/>
          <w:color w:val="376889"/>
          <w:sz w:val="21"/>
          <w:szCs w:val="21"/>
        </w:rPr>
      </w:pPr>
    </w:p>
    <w:p w:rsidR="00BF1357" w:rsidRDefault="00BF1357" w:rsidP="00BF1357">
      <w:pPr>
        <w:pStyle w:val="NormalWeb"/>
        <w:spacing w:before="0" w:beforeAutospacing="0" w:after="0" w:afterAutospacing="0" w:line="360" w:lineRule="auto"/>
        <w:jc w:val="both"/>
        <w:rPr>
          <w:iCs/>
          <w:color w:val="1C1C1C"/>
        </w:rPr>
      </w:pPr>
      <w:r w:rsidRPr="00BF1357">
        <w:rPr>
          <w:iCs/>
          <w:color w:val="1C1C1C"/>
        </w:rPr>
        <w:lastRenderedPageBreak/>
        <w:t xml:space="preserve">Se establece la información que deben suministrar a la AFIP las entidades financieras con respecto a la “Cuenta especial repatriación de fondos - Resolución General AFIP N° 4816/2020 y modificatorias”, que deba ser abierta para los sujetos que adhieran a la moratoria ampliada 2020 y tengan que efectuar la repatriación y mantenimiento de fondos en dichas cuentas. </w:t>
      </w:r>
    </w:p>
    <w:p w:rsidR="00BF1357" w:rsidRDefault="00BF1357" w:rsidP="00BF1357">
      <w:pPr>
        <w:pStyle w:val="NormalWeb"/>
        <w:spacing w:before="0" w:beforeAutospacing="0" w:after="0" w:afterAutospacing="0" w:line="360" w:lineRule="auto"/>
        <w:jc w:val="both"/>
        <w:rPr>
          <w:iCs/>
          <w:color w:val="1C1C1C"/>
        </w:rPr>
      </w:pPr>
      <w:r w:rsidRPr="00BF1357">
        <w:rPr>
          <w:iCs/>
          <w:color w:val="1C1C1C"/>
        </w:rPr>
        <w:t>Señalamos que la citada información debe ser suministrada en forma mensual a través del Sistema Informativo de Transacciones Económicas Relevantes (SITER) y los datos correspondientes a los meses de setiembre, octubre y noviembre podrán ser suministrados por las entidades financieras hasta el día 29/1/2021</w:t>
      </w:r>
      <w:r>
        <w:rPr>
          <w:iCs/>
          <w:color w:val="1C1C1C"/>
        </w:rPr>
        <w:t>.</w:t>
      </w:r>
    </w:p>
    <w:p w:rsidR="00BF1357" w:rsidRDefault="00BF1357" w:rsidP="00BF1357">
      <w:pPr>
        <w:pStyle w:val="NormalWeb"/>
        <w:spacing w:before="0" w:beforeAutospacing="0" w:after="0" w:afterAutospacing="0" w:line="360" w:lineRule="auto"/>
        <w:jc w:val="both"/>
        <w:rPr>
          <w:iCs/>
          <w:color w:val="1C1C1C"/>
        </w:rPr>
      </w:pPr>
    </w:p>
    <w:p w:rsidR="00BF1357" w:rsidRPr="00BF1357" w:rsidRDefault="00BF1357" w:rsidP="00BF1357">
      <w:pPr>
        <w:pStyle w:val="NormalWeb"/>
        <w:spacing w:before="0" w:beforeAutospacing="0" w:after="0" w:afterAutospacing="0" w:line="360" w:lineRule="auto"/>
        <w:jc w:val="both"/>
        <w:rPr>
          <w:rFonts w:ascii="Arial" w:hAnsi="Arial" w:cs="Arial"/>
          <w:b/>
          <w:bCs/>
          <w:caps/>
          <w:color w:val="002F5D"/>
        </w:rPr>
      </w:pPr>
      <w:r w:rsidRPr="00BF1357">
        <w:rPr>
          <w:rFonts w:ascii="Arial" w:hAnsi="Arial" w:cs="Arial"/>
          <w:b/>
          <w:bCs/>
          <w:caps/>
          <w:color w:val="002F5D"/>
        </w:rPr>
        <w:t>DOCTRINA</w:t>
      </w:r>
    </w:p>
    <w:p w:rsidR="00BF1357" w:rsidRPr="00534046" w:rsidRDefault="00BF1357" w:rsidP="00BF1357">
      <w:pPr>
        <w:jc w:val="both"/>
        <w:rPr>
          <w:rFonts w:ascii="Arial" w:eastAsia="Times New Roman" w:hAnsi="Arial" w:cs="Arial"/>
          <w:color w:val="000000"/>
          <w:sz w:val="20"/>
          <w:szCs w:val="20"/>
          <w:lang w:eastAsia="es-AR"/>
        </w:rPr>
      </w:pPr>
      <w:r w:rsidRPr="00BF1357">
        <w:rPr>
          <w:rFonts w:ascii="Arial" w:hAnsi="Arial" w:cs="Arial"/>
          <w:b/>
          <w:bCs/>
          <w:caps/>
          <w:color w:val="002F5D"/>
          <w:sz w:val="20"/>
          <w:szCs w:val="20"/>
        </w:rPr>
        <w:t>Ocho claves del Monotributo que viene: los cambios necesarios para fomentar la inversión de pequeños contribuyentes</w:t>
      </w:r>
      <w:r>
        <w:rPr>
          <w:rFonts w:ascii="Arial" w:hAnsi="Arial" w:cs="Arial"/>
          <w:b/>
          <w:bCs/>
          <w:caps/>
          <w:color w:val="002F5D"/>
          <w:sz w:val="20"/>
          <w:szCs w:val="20"/>
        </w:rPr>
        <w:t xml:space="preserve"> - </w:t>
      </w:r>
      <w:r w:rsidRPr="00534046">
        <w:rPr>
          <w:rFonts w:ascii="Arial" w:eastAsia="Times New Roman" w:hAnsi="Arial" w:cs="Arial"/>
          <w:color w:val="000000"/>
          <w:sz w:val="20"/>
          <w:szCs w:val="20"/>
          <w:lang w:eastAsia="es-AR"/>
        </w:rPr>
        <w:t xml:space="preserve">Por </w:t>
      </w:r>
      <w:hyperlink r:id="rId8" w:history="1">
        <w:r w:rsidRPr="00534046">
          <w:rPr>
            <w:rFonts w:ascii="Arial" w:eastAsia="Times New Roman" w:hAnsi="Arial" w:cs="Arial"/>
            <w:color w:val="0000FF"/>
            <w:sz w:val="20"/>
            <w:szCs w:val="20"/>
            <w:lang w:eastAsia="es-AR"/>
          </w:rPr>
          <w:t>Damián Di Pace</w:t>
        </w:r>
      </w:hyperlink>
      <w:r w:rsidRPr="00534046">
        <w:rPr>
          <w:rFonts w:ascii="Arial" w:eastAsia="Times New Roman" w:hAnsi="Arial" w:cs="Arial"/>
          <w:color w:val="000000"/>
          <w:sz w:val="20"/>
          <w:szCs w:val="20"/>
          <w:lang w:eastAsia="es-AR"/>
        </w:rPr>
        <w:t xml:space="preserve">  25 de Diciembre de 2020</w:t>
      </w:r>
      <w:r>
        <w:rPr>
          <w:rFonts w:ascii="Arial" w:eastAsia="Times New Roman" w:hAnsi="Arial" w:cs="Arial"/>
          <w:color w:val="000000"/>
          <w:sz w:val="20"/>
          <w:szCs w:val="20"/>
          <w:lang w:eastAsia="es-AR"/>
        </w:rPr>
        <w:t xml:space="preserve"> (I PROFESIONAL)</w:t>
      </w:r>
    </w:p>
    <w:p w:rsidR="00BF1357" w:rsidRPr="00BF1357" w:rsidRDefault="00BF1357" w:rsidP="00BF1357">
      <w:pPr>
        <w:pStyle w:val="NormalWeb"/>
        <w:spacing w:before="0" w:beforeAutospacing="0" w:after="0" w:afterAutospacing="0"/>
        <w:jc w:val="both"/>
        <w:rPr>
          <w:rFonts w:ascii="Arial" w:hAnsi="Arial" w:cs="Arial"/>
          <w:b/>
          <w:bCs/>
          <w:caps/>
          <w:color w:val="002F5D"/>
          <w:sz w:val="20"/>
          <w:szCs w:val="20"/>
        </w:rPr>
      </w:pPr>
    </w:p>
    <w:p w:rsidR="00BF1357" w:rsidRPr="00534046" w:rsidRDefault="00BF1357" w:rsidP="00BF1357">
      <w:pPr>
        <w:jc w:val="both"/>
        <w:outlineLvl w:val="0"/>
        <w:rPr>
          <w:rFonts w:ascii="Arial" w:eastAsia="Times New Roman" w:hAnsi="Arial" w:cs="Arial"/>
          <w:b/>
          <w:bCs/>
          <w:color w:val="000000"/>
          <w:spacing w:val="-7"/>
          <w:kern w:val="36"/>
          <w:sz w:val="20"/>
          <w:szCs w:val="20"/>
          <w:lang w:eastAsia="es-AR"/>
        </w:rPr>
      </w:pPr>
    </w:p>
    <w:p w:rsidR="00BF1357" w:rsidRPr="00BF1357" w:rsidRDefault="00BF1357" w:rsidP="00BF1357">
      <w:pPr>
        <w:spacing w:line="360" w:lineRule="auto"/>
        <w:jc w:val="both"/>
        <w:outlineLvl w:val="1"/>
        <w:rPr>
          <w:rFonts w:eastAsia="Times New Roman"/>
          <w:b/>
          <w:bCs/>
          <w:color w:val="000000"/>
          <w:spacing w:val="-7"/>
          <w:lang w:eastAsia="es-AR"/>
        </w:rPr>
      </w:pPr>
      <w:r w:rsidRPr="00BF1357">
        <w:rPr>
          <w:rFonts w:eastAsia="Times New Roman"/>
          <w:b/>
          <w:bCs/>
          <w:color w:val="000000"/>
          <w:spacing w:val="-7"/>
          <w:lang w:eastAsia="es-AR"/>
        </w:rPr>
        <w:t xml:space="preserve">Argentina podría terminar </w:t>
      </w:r>
      <w:proofErr w:type="spellStart"/>
      <w:r w:rsidRPr="00BF1357">
        <w:rPr>
          <w:rFonts w:eastAsia="Times New Roman"/>
          <w:b/>
          <w:bCs/>
          <w:color w:val="000000"/>
          <w:spacing w:val="-7"/>
          <w:lang w:eastAsia="es-AR"/>
        </w:rPr>
        <w:t>está</w:t>
      </w:r>
      <w:proofErr w:type="spellEnd"/>
      <w:r w:rsidRPr="00BF1357">
        <w:rPr>
          <w:rFonts w:eastAsia="Times New Roman"/>
          <w:b/>
          <w:bCs/>
          <w:color w:val="000000"/>
          <w:spacing w:val="-7"/>
          <w:lang w:eastAsia="es-AR"/>
        </w:rPr>
        <w:t xml:space="preserve"> pandemia con solo 14 pymes por cada 1.000 habitantes. Es el número más bajo de densidad empresaria de América Latina para este tipo de compañías: 22 años de frustración emprendedora tienen su costo </w:t>
      </w:r>
    </w:p>
    <w:p w:rsidR="00BF1357" w:rsidRPr="00BF1357" w:rsidRDefault="00BF1357" w:rsidP="00BF1357">
      <w:pPr>
        <w:jc w:val="both"/>
        <w:rPr>
          <w:rFonts w:eastAsia="Times New Roman"/>
          <w:color w:val="000000"/>
          <w:lang w:eastAsia="es-AR"/>
        </w:rPr>
      </w:pPr>
    </w:p>
    <w:p w:rsidR="00BF1357" w:rsidRPr="00BF1357" w:rsidRDefault="00BF1357" w:rsidP="00BF1357">
      <w:pPr>
        <w:spacing w:line="360" w:lineRule="auto"/>
        <w:jc w:val="both"/>
        <w:rPr>
          <w:rFonts w:eastAsia="Times New Roman"/>
          <w:color w:val="000000"/>
          <w:lang w:eastAsia="es-AR"/>
        </w:rPr>
      </w:pPr>
      <w:r w:rsidRPr="00BF1357">
        <w:rPr>
          <w:rFonts w:eastAsia="Times New Roman"/>
          <w:color w:val="000000"/>
          <w:lang w:eastAsia="es-AR"/>
        </w:rPr>
        <w:t xml:space="preserve">Las pymes y </w:t>
      </w:r>
      <w:proofErr w:type="gramStart"/>
      <w:r w:rsidRPr="00BF1357">
        <w:rPr>
          <w:rFonts w:eastAsia="Times New Roman"/>
          <w:color w:val="000000"/>
          <w:lang w:eastAsia="es-AR"/>
        </w:rPr>
        <w:t>las disyuntiva</w:t>
      </w:r>
      <w:proofErr w:type="gramEnd"/>
      <w:r w:rsidRPr="00BF1357">
        <w:rPr>
          <w:rFonts w:eastAsia="Times New Roman"/>
          <w:color w:val="000000"/>
          <w:lang w:eastAsia="es-AR"/>
        </w:rPr>
        <w:t xml:space="preserve"> de crecer o ser autónomos (EFE)</w:t>
      </w:r>
    </w:p>
    <w:p w:rsidR="00BF1357" w:rsidRPr="00BF1357" w:rsidRDefault="00BF1357" w:rsidP="00BF1357">
      <w:pPr>
        <w:spacing w:line="360" w:lineRule="auto"/>
        <w:jc w:val="both"/>
        <w:rPr>
          <w:rFonts w:eastAsia="Times New Roman"/>
          <w:color w:val="000000"/>
          <w:lang w:eastAsia="es-AR"/>
        </w:rPr>
      </w:pPr>
      <w:r w:rsidRPr="00BF1357">
        <w:rPr>
          <w:rFonts w:eastAsia="Times New Roman"/>
          <w:color w:val="000000"/>
          <w:lang w:eastAsia="es-AR"/>
        </w:rPr>
        <w:t>El régimen simplificado surgió en el año 1998 luego de una tardía pero siempre esperada reforma fiscal. Implicó un sistema de tributación para pequeños contribuyentes con el objetivo que puedan cancelar sus obligaciones fiscales con el pago de un monto fijo mensual de acuerdo a diferentes categorías y montos de facturación integrando el pago de Ganancias e IVA.</w:t>
      </w:r>
    </w:p>
    <w:p w:rsidR="00BF1357" w:rsidRPr="00BF1357" w:rsidRDefault="00BF1357" w:rsidP="00BF1357">
      <w:pPr>
        <w:spacing w:line="360" w:lineRule="auto"/>
        <w:jc w:val="both"/>
        <w:rPr>
          <w:rFonts w:eastAsia="Times New Roman"/>
          <w:color w:val="000000"/>
          <w:lang w:eastAsia="es-AR"/>
        </w:rPr>
      </w:pPr>
      <w:r w:rsidRPr="00BF1357">
        <w:rPr>
          <w:rFonts w:eastAsia="Times New Roman"/>
          <w:color w:val="000000"/>
          <w:lang w:eastAsia="es-AR"/>
        </w:rPr>
        <w:t xml:space="preserve">En aquel momento </w:t>
      </w:r>
      <w:r w:rsidRPr="00BF1357">
        <w:rPr>
          <w:rFonts w:eastAsia="Times New Roman"/>
          <w:b/>
          <w:bCs/>
          <w:color w:val="000000"/>
          <w:lang w:eastAsia="es-AR"/>
        </w:rPr>
        <w:t>se pensó que se sumarían 500 mil empresas al régimen y que el mismo podía duplicarse o triplicarse en el tiempo. Hoy hay 3,5 millones de pequeños contribuyentes en este régimen.</w:t>
      </w:r>
    </w:p>
    <w:p w:rsidR="00BF1357" w:rsidRPr="00BF1357" w:rsidRDefault="00BF1357" w:rsidP="00BF1357">
      <w:pPr>
        <w:spacing w:line="360" w:lineRule="auto"/>
        <w:jc w:val="both"/>
        <w:rPr>
          <w:rFonts w:eastAsia="Times New Roman"/>
          <w:color w:val="000000"/>
          <w:lang w:eastAsia="es-AR"/>
        </w:rPr>
      </w:pPr>
      <w:r w:rsidRPr="00BF1357">
        <w:rPr>
          <w:rFonts w:eastAsia="Times New Roman"/>
          <w:color w:val="000000"/>
          <w:lang w:eastAsia="es-AR"/>
        </w:rPr>
        <w:t xml:space="preserve">Desde el Poder Ejecutivo se envió al Congreso un proyecto de un “nuevo monotributo”, un plan puente prometido hace años para que el salto del régimen simplificado al régimen de responsable inscripto, que implica pagar Ganancias e IVA, no sea imposible de sostener y </w:t>
      </w:r>
      <w:r w:rsidRPr="00BF1357">
        <w:rPr>
          <w:rFonts w:eastAsia="Times New Roman"/>
          <w:color w:val="000000"/>
          <w:lang w:eastAsia="es-AR"/>
        </w:rPr>
        <w:lastRenderedPageBreak/>
        <w:t>no lleve al cierre a muchos pequeños comercializadores de bienes y prestadores de servicios.</w:t>
      </w:r>
    </w:p>
    <w:p w:rsidR="00BF1357" w:rsidRPr="00BF1357" w:rsidRDefault="00BF1357" w:rsidP="00BF1357">
      <w:pPr>
        <w:spacing w:line="360" w:lineRule="auto"/>
        <w:jc w:val="both"/>
        <w:rPr>
          <w:rFonts w:eastAsia="Times New Roman"/>
          <w:color w:val="000000"/>
          <w:lang w:eastAsia="es-AR"/>
        </w:rPr>
      </w:pPr>
      <w:r w:rsidRPr="00BF1357">
        <w:rPr>
          <w:rFonts w:eastAsia="Times New Roman"/>
          <w:color w:val="000000"/>
          <w:lang w:eastAsia="es-AR"/>
        </w:rPr>
        <w:t>Los ocho puntos del Monotributo a tener en cuenta:</w:t>
      </w:r>
    </w:p>
    <w:p w:rsidR="00BF1357" w:rsidRPr="00BF1357" w:rsidRDefault="00BF1357" w:rsidP="00BF1357">
      <w:pPr>
        <w:spacing w:line="360" w:lineRule="auto"/>
        <w:jc w:val="both"/>
        <w:rPr>
          <w:rFonts w:eastAsia="Times New Roman"/>
          <w:color w:val="000000"/>
          <w:lang w:eastAsia="es-AR"/>
        </w:rPr>
      </w:pPr>
      <w:r w:rsidRPr="00BF1357">
        <w:rPr>
          <w:rFonts w:eastAsia="Times New Roman"/>
          <w:b/>
          <w:bCs/>
          <w:color w:val="000000"/>
          <w:lang w:eastAsia="es-AR"/>
        </w:rPr>
        <w:t>1 - Tope para el Régimen Simplificado.</w:t>
      </w:r>
      <w:r w:rsidRPr="00BF1357">
        <w:rPr>
          <w:rFonts w:eastAsia="Times New Roman"/>
          <w:color w:val="000000"/>
          <w:lang w:eastAsia="es-AR"/>
        </w:rPr>
        <w:t xml:space="preserve"> Cuando se creó el régimen</w:t>
      </w:r>
      <w:r w:rsidRPr="00BF1357">
        <w:rPr>
          <w:rFonts w:eastAsia="Times New Roman"/>
          <w:b/>
          <w:bCs/>
          <w:color w:val="000000"/>
          <w:lang w:eastAsia="es-AR"/>
        </w:rPr>
        <w:t xml:space="preserve"> el tope para pertenecer era de $100.000 que equivalían en la Convertibilidad a USD 100.000</w:t>
      </w:r>
      <w:r w:rsidRPr="00BF1357">
        <w:rPr>
          <w:rFonts w:eastAsia="Times New Roman"/>
          <w:color w:val="000000"/>
          <w:lang w:eastAsia="es-AR"/>
        </w:rPr>
        <w:t xml:space="preserve">. A lo largo de los años, como siempre sucede en Argentina, la inflación desnaturalizó los bolsillos y los presupuestos y al no tener mecanismos de ajustes automáticos se desnaturalizó también la simplificación del régimen. </w:t>
      </w:r>
      <w:r w:rsidRPr="00BF1357">
        <w:rPr>
          <w:rFonts w:eastAsia="Times New Roman"/>
          <w:b/>
          <w:bCs/>
          <w:color w:val="000000"/>
          <w:lang w:eastAsia="es-AR"/>
        </w:rPr>
        <w:t>Hoy, un prestador de servicios tiene un tope de facturación de $1.739.493,79 que equivale a USD 11.593 y de $2.609.240,69 para la comercialización de bienes que equivale a 17.393 dólares</w:t>
      </w:r>
      <w:r w:rsidRPr="00BF1357">
        <w:rPr>
          <w:rFonts w:eastAsia="Times New Roman"/>
          <w:color w:val="000000"/>
          <w:lang w:eastAsia="es-AR"/>
        </w:rPr>
        <w:t>.</w:t>
      </w:r>
    </w:p>
    <w:p w:rsidR="00BF1357" w:rsidRPr="00BF1357" w:rsidRDefault="00BF1357" w:rsidP="00BF1357">
      <w:pPr>
        <w:spacing w:line="360" w:lineRule="auto"/>
        <w:jc w:val="both"/>
        <w:rPr>
          <w:rFonts w:eastAsia="Times New Roman"/>
          <w:color w:val="000000"/>
          <w:lang w:eastAsia="es-AR"/>
        </w:rPr>
      </w:pPr>
      <w:r w:rsidRPr="00BF1357">
        <w:rPr>
          <w:rFonts w:eastAsia="Times New Roman"/>
          <w:b/>
          <w:bCs/>
          <w:color w:val="000000"/>
          <w:lang w:eastAsia="es-AR"/>
        </w:rPr>
        <w:t>2 - Trampa del salto tributario. Al no tener ajuste por inflación durante años los topes generaron que el paso de un régimen a otro sea al corto tiempo de emprender</w:t>
      </w:r>
      <w:r w:rsidRPr="00BF1357">
        <w:rPr>
          <w:rFonts w:eastAsia="Times New Roman"/>
          <w:color w:val="000000"/>
          <w:lang w:eastAsia="es-AR"/>
        </w:rPr>
        <w:t xml:space="preserve">. Hoy el régimen debería tener un tope actualizado por un </w:t>
      </w:r>
      <w:proofErr w:type="spellStart"/>
      <w:r w:rsidRPr="00BF1357">
        <w:rPr>
          <w:rFonts w:eastAsia="Times New Roman"/>
          <w:color w:val="000000"/>
          <w:lang w:eastAsia="es-AR"/>
        </w:rPr>
        <w:t>mix</w:t>
      </w:r>
      <w:proofErr w:type="spellEnd"/>
      <w:r w:rsidRPr="00BF1357">
        <w:rPr>
          <w:rFonts w:eastAsia="Times New Roman"/>
          <w:color w:val="000000"/>
          <w:lang w:eastAsia="es-AR"/>
        </w:rPr>
        <w:t xml:space="preserve"> entre inflación y evolución de la devaluación del peso frente al dólar, a la fecha de no menos de 12 millones de pesos.</w:t>
      </w:r>
    </w:p>
    <w:p w:rsidR="00BF1357" w:rsidRPr="00BF1357" w:rsidRDefault="00BF1357" w:rsidP="00BF1357">
      <w:pPr>
        <w:spacing w:line="360" w:lineRule="auto"/>
        <w:jc w:val="both"/>
        <w:rPr>
          <w:rFonts w:eastAsia="Times New Roman"/>
          <w:color w:val="000000"/>
          <w:lang w:eastAsia="es-AR"/>
        </w:rPr>
      </w:pPr>
      <w:r w:rsidRPr="00BF1357">
        <w:rPr>
          <w:rFonts w:eastAsia="Times New Roman"/>
          <w:color w:val="000000"/>
          <w:lang w:eastAsia="es-AR"/>
        </w:rPr>
        <w:t>Hoy, un prestador de servicios tiene un tope de facturación de $1.739.493,79 que equivale a USD 11.593 y de $2.609.240,69 para la comercialización de bienes que equivale a USD 17.393</w:t>
      </w:r>
    </w:p>
    <w:p w:rsidR="00BF1357" w:rsidRPr="00BF1357" w:rsidRDefault="00BF1357" w:rsidP="00BF1357">
      <w:pPr>
        <w:spacing w:line="360" w:lineRule="auto"/>
        <w:jc w:val="both"/>
        <w:rPr>
          <w:rFonts w:eastAsia="Times New Roman"/>
          <w:color w:val="000000"/>
          <w:lang w:eastAsia="es-AR"/>
        </w:rPr>
      </w:pPr>
      <w:r w:rsidRPr="00BF1357">
        <w:rPr>
          <w:rFonts w:eastAsia="Times New Roman"/>
          <w:b/>
          <w:bCs/>
          <w:color w:val="000000"/>
          <w:lang w:eastAsia="es-AR"/>
        </w:rPr>
        <w:t xml:space="preserve">3 - Entre no querer crecer y no poder crecer. </w:t>
      </w:r>
      <w:r w:rsidRPr="00BF1357">
        <w:rPr>
          <w:rFonts w:eastAsia="Times New Roman"/>
          <w:color w:val="000000"/>
          <w:lang w:eastAsia="es-AR"/>
        </w:rPr>
        <w:t xml:space="preserve">Estos desfasajes hicieron que </w:t>
      </w:r>
      <w:r w:rsidRPr="00BF1357">
        <w:rPr>
          <w:rFonts w:eastAsia="Times New Roman"/>
          <w:b/>
          <w:bCs/>
          <w:color w:val="000000"/>
          <w:lang w:eastAsia="es-AR"/>
        </w:rPr>
        <w:t>los que están en el régimen simplificado no quieran crecer por que el salto al régimen de responsable inscripto es de una presión tributaria imposible de sostener para una economía de pequeña escala como un pequeño prestador de servicios o productor/vendedor de bienes</w:t>
      </w:r>
      <w:r w:rsidRPr="00BF1357">
        <w:rPr>
          <w:rFonts w:eastAsia="Times New Roman"/>
          <w:color w:val="000000"/>
          <w:lang w:eastAsia="es-AR"/>
        </w:rPr>
        <w:t>. Para aquel que cae en la trampa tributaria de saltar de régimen de responsable inscripto porque los topes son muy cercanos a una facturación baja en pesos para cualquier emprendimiento tiene dos consecuencias letales:</w:t>
      </w:r>
    </w:p>
    <w:p w:rsidR="00BF1357" w:rsidRPr="00BF1357" w:rsidRDefault="00BF1357" w:rsidP="00BF1357">
      <w:pPr>
        <w:spacing w:line="360" w:lineRule="auto"/>
        <w:jc w:val="both"/>
        <w:rPr>
          <w:rFonts w:eastAsia="Times New Roman"/>
          <w:color w:val="000000"/>
          <w:lang w:eastAsia="es-AR"/>
        </w:rPr>
      </w:pPr>
      <w:r w:rsidRPr="00BF1357">
        <w:rPr>
          <w:rFonts w:eastAsia="Times New Roman"/>
          <w:color w:val="000000"/>
          <w:lang w:eastAsia="es-AR"/>
        </w:rPr>
        <w:t>A - No puede crecer porque el régimen no le deja oxígeno para reinvertir utilidades, contratar personal y mejorar su productividad y competitividad</w:t>
      </w:r>
    </w:p>
    <w:p w:rsidR="00BF1357" w:rsidRPr="00BF1357" w:rsidRDefault="00BF1357" w:rsidP="00BF1357">
      <w:pPr>
        <w:spacing w:line="360" w:lineRule="auto"/>
        <w:jc w:val="both"/>
        <w:rPr>
          <w:rFonts w:eastAsia="Times New Roman"/>
          <w:color w:val="000000"/>
          <w:lang w:eastAsia="es-AR"/>
        </w:rPr>
      </w:pPr>
      <w:r w:rsidRPr="00BF1357">
        <w:rPr>
          <w:rFonts w:eastAsia="Times New Roman"/>
          <w:color w:val="000000"/>
          <w:lang w:eastAsia="es-AR"/>
        </w:rPr>
        <w:t xml:space="preserve">B - En algunos casos sobrevive y en otros, como pasó en la </w:t>
      </w:r>
      <w:proofErr w:type="spellStart"/>
      <w:r w:rsidRPr="00BF1357">
        <w:rPr>
          <w:rFonts w:eastAsia="Times New Roman"/>
          <w:color w:val="000000"/>
          <w:lang w:eastAsia="es-AR"/>
        </w:rPr>
        <w:t>prepandemia</w:t>
      </w:r>
      <w:proofErr w:type="spellEnd"/>
      <w:r w:rsidRPr="00BF1357">
        <w:rPr>
          <w:rFonts w:eastAsia="Times New Roman"/>
          <w:color w:val="000000"/>
          <w:lang w:eastAsia="es-AR"/>
        </w:rPr>
        <w:t xml:space="preserve"> con 3 años de caída de la economía sumado a este con una pandemia los lleva el propio Estado al cierre al no poder soportar la presión tributaria.</w:t>
      </w:r>
    </w:p>
    <w:p w:rsidR="00BF1357" w:rsidRPr="00BF1357" w:rsidRDefault="00BF1357" w:rsidP="00BF1357">
      <w:pPr>
        <w:spacing w:line="360" w:lineRule="auto"/>
        <w:jc w:val="both"/>
        <w:rPr>
          <w:rFonts w:eastAsia="Times New Roman"/>
          <w:color w:val="000000"/>
          <w:lang w:eastAsia="es-AR"/>
        </w:rPr>
      </w:pPr>
      <w:r w:rsidRPr="00BF1357">
        <w:rPr>
          <w:rFonts w:eastAsia="Times New Roman"/>
          <w:b/>
          <w:bCs/>
          <w:color w:val="000000"/>
          <w:lang w:eastAsia="es-AR"/>
        </w:rPr>
        <w:lastRenderedPageBreak/>
        <w:t xml:space="preserve">4 - La condena al Autónomo. </w:t>
      </w:r>
      <w:r w:rsidRPr="00BF1357">
        <w:rPr>
          <w:rFonts w:eastAsia="Times New Roman"/>
          <w:color w:val="000000"/>
          <w:lang w:eastAsia="es-AR"/>
        </w:rPr>
        <w:t xml:space="preserve">Para el caso del autónomo la situación es mucho peor. Quien pasa del régimen simplificado al autónomo debe permanecer en el régimen al menos 3 años para volver al Monotributo. </w:t>
      </w:r>
      <w:r w:rsidRPr="00BF1357">
        <w:rPr>
          <w:rFonts w:eastAsia="Times New Roman"/>
          <w:b/>
          <w:bCs/>
          <w:color w:val="000000"/>
          <w:lang w:eastAsia="es-AR"/>
        </w:rPr>
        <w:t>Es decir una condena de un tercio de década independientemente del resultado del negocio.</w:t>
      </w:r>
      <w:r w:rsidRPr="00BF1357">
        <w:rPr>
          <w:rFonts w:eastAsia="Times New Roman"/>
          <w:color w:val="000000"/>
          <w:lang w:eastAsia="es-AR"/>
        </w:rPr>
        <w:t xml:space="preserve"> El resultado es que al caer la economía y no poder volver hacia atrás en el régimen simplificado la presión tributaria es letal incluso por la misma facturación que tenía en el Monotributo pero pagando Ganancias e IVA como autónomo. Una condena inentendible hacia 400.000 autónomos argentinos.</w:t>
      </w:r>
    </w:p>
    <w:p w:rsidR="00BF1357" w:rsidRPr="00BF1357" w:rsidRDefault="00BF1357" w:rsidP="00BF1357">
      <w:pPr>
        <w:spacing w:line="360" w:lineRule="auto"/>
        <w:jc w:val="both"/>
        <w:rPr>
          <w:rFonts w:eastAsia="Times New Roman"/>
          <w:color w:val="555555"/>
          <w:lang w:eastAsia="es-AR"/>
        </w:rPr>
      </w:pPr>
      <w:r w:rsidRPr="00BF1357">
        <w:rPr>
          <w:rFonts w:eastAsia="Times New Roman"/>
          <w:color w:val="555555"/>
          <w:lang w:eastAsia="es-AR"/>
        </w:rPr>
        <w:t>Los desfasajes hicieron que los que están en el régimen simplificado no quieran crecer por que el salto al régimen de responsable inscripto es de una presión tributaria imposible de sostener</w:t>
      </w:r>
    </w:p>
    <w:p w:rsidR="00BF1357" w:rsidRPr="00BF1357" w:rsidRDefault="00BF1357" w:rsidP="00BF1357">
      <w:pPr>
        <w:spacing w:line="360" w:lineRule="auto"/>
        <w:jc w:val="both"/>
        <w:rPr>
          <w:rFonts w:eastAsia="Times New Roman"/>
          <w:color w:val="000000"/>
          <w:lang w:eastAsia="es-AR"/>
        </w:rPr>
      </w:pPr>
      <w:r w:rsidRPr="00BF1357">
        <w:rPr>
          <w:rFonts w:eastAsia="Times New Roman"/>
          <w:b/>
          <w:bCs/>
          <w:color w:val="000000"/>
          <w:lang w:eastAsia="es-AR"/>
        </w:rPr>
        <w:t xml:space="preserve">5 - Subfacturación versus </w:t>
      </w:r>
      <w:proofErr w:type="spellStart"/>
      <w:r w:rsidRPr="00BF1357">
        <w:rPr>
          <w:rFonts w:eastAsia="Times New Roman"/>
          <w:b/>
          <w:bCs/>
          <w:color w:val="000000"/>
          <w:lang w:eastAsia="es-AR"/>
        </w:rPr>
        <w:t>subajuste</w:t>
      </w:r>
      <w:proofErr w:type="spellEnd"/>
      <w:r w:rsidRPr="00BF1357">
        <w:rPr>
          <w:rFonts w:eastAsia="Times New Roman"/>
          <w:b/>
          <w:bCs/>
          <w:color w:val="000000"/>
          <w:lang w:eastAsia="es-AR"/>
        </w:rPr>
        <w:t xml:space="preserve"> de topes. </w:t>
      </w:r>
      <w:r w:rsidRPr="00BF1357">
        <w:rPr>
          <w:rFonts w:eastAsia="Times New Roman"/>
          <w:color w:val="000000"/>
          <w:lang w:eastAsia="es-AR"/>
        </w:rPr>
        <w:t>Desde el organismo recaudador observan que quien está en el</w:t>
      </w:r>
      <w:r w:rsidRPr="00BF1357">
        <w:rPr>
          <w:rFonts w:eastAsia="Times New Roman"/>
          <w:b/>
          <w:bCs/>
          <w:color w:val="000000"/>
          <w:lang w:eastAsia="es-AR"/>
        </w:rPr>
        <w:t xml:space="preserve"> </w:t>
      </w:r>
      <w:r w:rsidRPr="00BF1357">
        <w:rPr>
          <w:rFonts w:eastAsia="Times New Roman"/>
          <w:color w:val="000000"/>
          <w:lang w:eastAsia="es-AR"/>
        </w:rPr>
        <w:t xml:space="preserve">Monotributo no factura todo lo que corresponde para no pasarse al Régimen de Responsable Inscripto. Es una visión desde lado de la recaudación real. </w:t>
      </w:r>
      <w:r w:rsidRPr="00BF1357">
        <w:rPr>
          <w:rFonts w:eastAsia="Times New Roman"/>
          <w:b/>
          <w:bCs/>
          <w:color w:val="000000"/>
          <w:lang w:eastAsia="es-AR"/>
        </w:rPr>
        <w:t>Desde el lado de la producción, comercialización de bienes y prestación de servicios observan que quien está en el régimen simplificado está conviviendo con un régimen que no fue actualizando sus topes en forma acorde a la inflación y a la devaluación del peso frente al dólar en los últimos 22 años.</w:t>
      </w:r>
      <w:r w:rsidRPr="00BF1357">
        <w:rPr>
          <w:rFonts w:eastAsia="Times New Roman"/>
          <w:color w:val="000000"/>
          <w:lang w:eastAsia="es-AR"/>
        </w:rPr>
        <w:t xml:space="preserve"> Observa un </w:t>
      </w:r>
      <w:proofErr w:type="spellStart"/>
      <w:r w:rsidRPr="00BF1357">
        <w:rPr>
          <w:rFonts w:eastAsia="Times New Roman"/>
          <w:color w:val="000000"/>
          <w:lang w:eastAsia="es-AR"/>
        </w:rPr>
        <w:t>subajuste</w:t>
      </w:r>
      <w:proofErr w:type="spellEnd"/>
      <w:r w:rsidRPr="00BF1357">
        <w:rPr>
          <w:rFonts w:eastAsia="Times New Roman"/>
          <w:color w:val="000000"/>
          <w:lang w:eastAsia="es-AR"/>
        </w:rPr>
        <w:t xml:space="preserve"> de topes real que le implican comenzar a pagar muchísimo más por seguir comercializando el mismo bien o prestando el mismo servicio en el salto tributario.</w:t>
      </w:r>
    </w:p>
    <w:p w:rsidR="00BF1357" w:rsidRPr="00BF1357" w:rsidRDefault="00BF1357" w:rsidP="00BF1357">
      <w:pPr>
        <w:spacing w:line="360" w:lineRule="auto"/>
        <w:jc w:val="both"/>
        <w:rPr>
          <w:rFonts w:eastAsia="Times New Roman"/>
          <w:color w:val="000000"/>
          <w:lang w:eastAsia="es-AR"/>
        </w:rPr>
      </w:pPr>
      <w:r w:rsidRPr="00BF1357">
        <w:rPr>
          <w:rFonts w:eastAsia="Times New Roman"/>
          <w:b/>
          <w:bCs/>
          <w:color w:val="000000"/>
          <w:lang w:eastAsia="es-AR"/>
        </w:rPr>
        <w:t xml:space="preserve">6 - Caso Uruguay. </w:t>
      </w:r>
      <w:r w:rsidRPr="00BF1357">
        <w:rPr>
          <w:rFonts w:eastAsia="Times New Roman"/>
          <w:color w:val="000000"/>
          <w:lang w:eastAsia="es-AR"/>
        </w:rPr>
        <w:t xml:space="preserve">En muchas ocasiones los emprendedores o pequeños contribuyentes cruzan el Río de la Plata para continuar con su vida empresaria. En este país existe un régimen simplificado SRL para las empresas </w:t>
      </w:r>
      <w:proofErr w:type="spellStart"/>
      <w:r w:rsidRPr="00BF1357">
        <w:rPr>
          <w:rFonts w:eastAsia="Times New Roman"/>
          <w:color w:val="000000"/>
          <w:lang w:eastAsia="es-AR"/>
        </w:rPr>
        <w:t>Mipymes</w:t>
      </w:r>
      <w:proofErr w:type="spellEnd"/>
      <w:r w:rsidRPr="00BF1357">
        <w:rPr>
          <w:rFonts w:eastAsia="Times New Roman"/>
          <w:color w:val="000000"/>
          <w:lang w:eastAsia="es-AR"/>
        </w:rPr>
        <w:t xml:space="preserve"> que facturen hasta USD 500.000 con impuestos que van del 3,3% al 12% de la tasa efectiva sobre la facturación. </w:t>
      </w:r>
      <w:r w:rsidRPr="00BF1357">
        <w:rPr>
          <w:rFonts w:eastAsia="Times New Roman"/>
          <w:b/>
          <w:bCs/>
          <w:color w:val="000000"/>
          <w:lang w:eastAsia="es-AR"/>
        </w:rPr>
        <w:t xml:space="preserve">Es decir, más se factura, más se paga. Sin saltos bruscos de un régimen a otro. Sin </w:t>
      </w:r>
      <w:proofErr w:type="spellStart"/>
      <w:r w:rsidRPr="00BF1357">
        <w:rPr>
          <w:rFonts w:eastAsia="Times New Roman"/>
          <w:b/>
          <w:bCs/>
          <w:color w:val="000000"/>
          <w:lang w:eastAsia="es-AR"/>
        </w:rPr>
        <w:t>subjustes</w:t>
      </w:r>
      <w:proofErr w:type="spellEnd"/>
      <w:r w:rsidRPr="00BF1357">
        <w:rPr>
          <w:rFonts w:eastAsia="Times New Roman"/>
          <w:b/>
          <w:bCs/>
          <w:color w:val="000000"/>
          <w:lang w:eastAsia="es-AR"/>
        </w:rPr>
        <w:t xml:space="preserve"> de escalas. Sin subfacturación.</w:t>
      </w:r>
      <w:r w:rsidRPr="00BF1357">
        <w:rPr>
          <w:rFonts w:eastAsia="Times New Roman"/>
          <w:color w:val="000000"/>
          <w:lang w:eastAsia="es-AR"/>
        </w:rPr>
        <w:t xml:space="preserve"> Las </w:t>
      </w:r>
      <w:proofErr w:type="spellStart"/>
      <w:r w:rsidRPr="00BF1357">
        <w:rPr>
          <w:rFonts w:eastAsia="Times New Roman"/>
          <w:color w:val="000000"/>
          <w:lang w:eastAsia="es-AR"/>
        </w:rPr>
        <w:t>mipymes</w:t>
      </w:r>
      <w:proofErr w:type="spellEnd"/>
      <w:r w:rsidRPr="00BF1357">
        <w:rPr>
          <w:rFonts w:eastAsia="Times New Roman"/>
          <w:color w:val="000000"/>
          <w:lang w:eastAsia="es-AR"/>
        </w:rPr>
        <w:t xml:space="preserve"> incrementan su carga tributaria a medida que facturan más. El paso es acorde al crecimiento de su musculatura y de la economía de escala.</w:t>
      </w:r>
    </w:p>
    <w:p w:rsidR="00BF1357" w:rsidRPr="00551FD0" w:rsidRDefault="00BF1357" w:rsidP="00BF1357">
      <w:pPr>
        <w:spacing w:line="360" w:lineRule="auto"/>
        <w:jc w:val="both"/>
        <w:rPr>
          <w:rFonts w:eastAsia="Times New Roman"/>
          <w:color w:val="000000"/>
          <w:lang w:eastAsia="es-AR"/>
        </w:rPr>
      </w:pPr>
      <w:r w:rsidRPr="00551FD0">
        <w:rPr>
          <w:rFonts w:eastAsia="Times New Roman"/>
          <w:color w:val="000000"/>
          <w:lang w:eastAsia="es-AR"/>
        </w:rPr>
        <w:t>Al caer la economía y no poder volver hacia atrás en el régimen simplificado la presión tributaria es letal incluso por la misma facturación que tenía en el Monotributo pero pagando ganancias e IVA como autónomo</w:t>
      </w:r>
    </w:p>
    <w:p w:rsidR="00BF1357" w:rsidRPr="00BF1357" w:rsidRDefault="00BF1357" w:rsidP="00BF1357">
      <w:pPr>
        <w:spacing w:line="360" w:lineRule="auto"/>
        <w:jc w:val="both"/>
        <w:rPr>
          <w:rFonts w:eastAsia="Times New Roman"/>
          <w:color w:val="000000"/>
          <w:lang w:eastAsia="es-AR"/>
        </w:rPr>
      </w:pPr>
      <w:r w:rsidRPr="00BF1357">
        <w:rPr>
          <w:rFonts w:eastAsia="Times New Roman"/>
          <w:b/>
          <w:bCs/>
          <w:color w:val="000000"/>
          <w:lang w:eastAsia="es-AR"/>
        </w:rPr>
        <w:lastRenderedPageBreak/>
        <w:t xml:space="preserve">7 - Caso Chile y Brasil. </w:t>
      </w:r>
      <w:r w:rsidRPr="00BF1357">
        <w:rPr>
          <w:rFonts w:eastAsia="Times New Roman"/>
          <w:color w:val="000000"/>
          <w:lang w:eastAsia="es-AR"/>
        </w:rPr>
        <w:t xml:space="preserve">En Argentina </w:t>
      </w:r>
      <w:r w:rsidRPr="00BF1357">
        <w:rPr>
          <w:rFonts w:eastAsia="Times New Roman"/>
          <w:b/>
          <w:bCs/>
          <w:color w:val="000000"/>
          <w:lang w:eastAsia="es-AR"/>
        </w:rPr>
        <w:t>el peso tributario del régimen general frente al monotributo es de 10 veces.</w:t>
      </w:r>
      <w:r w:rsidRPr="00BF1357">
        <w:rPr>
          <w:rFonts w:eastAsia="Times New Roman"/>
          <w:color w:val="000000"/>
          <w:lang w:eastAsia="es-AR"/>
        </w:rPr>
        <w:t xml:space="preserve"> A su vez, hay inconsistencias en el caso de venta de bienes o prestación de servicios a entidades exentas de IVA, donde en el caso del régimen general debe ser asumido por el oferente como un costo adicional sin posibilidad de descarga alguna en lugar del Monotributo donde IVA y Ganancias están incluidos. En Chile tienen un régimen impositivo para pequeños contribuyentes de pequeñas empresas. Los impuestos pagados por las </w:t>
      </w:r>
      <w:proofErr w:type="spellStart"/>
      <w:r w:rsidRPr="00BF1357">
        <w:rPr>
          <w:rFonts w:eastAsia="Times New Roman"/>
          <w:color w:val="000000"/>
          <w:lang w:eastAsia="es-AR"/>
        </w:rPr>
        <w:t>mipymes</w:t>
      </w:r>
      <w:proofErr w:type="spellEnd"/>
      <w:r w:rsidRPr="00BF1357">
        <w:rPr>
          <w:rFonts w:eastAsia="Times New Roman"/>
          <w:color w:val="000000"/>
          <w:lang w:eastAsia="es-AR"/>
        </w:rPr>
        <w:t xml:space="preserve"> sirven como crédito para los impuestos pagados por las personas, lo que favorece a los dueños de las </w:t>
      </w:r>
      <w:proofErr w:type="spellStart"/>
      <w:r w:rsidRPr="00BF1357">
        <w:rPr>
          <w:rFonts w:eastAsia="Times New Roman"/>
          <w:color w:val="000000"/>
          <w:lang w:eastAsia="es-AR"/>
        </w:rPr>
        <w:t>mipymes</w:t>
      </w:r>
      <w:proofErr w:type="spellEnd"/>
      <w:r w:rsidRPr="00BF1357">
        <w:rPr>
          <w:rFonts w:eastAsia="Times New Roman"/>
          <w:color w:val="000000"/>
          <w:lang w:eastAsia="es-AR"/>
        </w:rPr>
        <w:t xml:space="preserve"> y a las personas de clase media que lo vuelcan sobre el consumo nuevamente. Es decir, </w:t>
      </w:r>
      <w:r w:rsidRPr="00BF1357">
        <w:rPr>
          <w:rFonts w:eastAsia="Times New Roman"/>
          <w:b/>
          <w:bCs/>
          <w:color w:val="000000"/>
          <w:lang w:eastAsia="es-AR"/>
        </w:rPr>
        <w:t xml:space="preserve">obtienen un crédito fiscal que las personas pueden descontar en el pago de sus impuestos personales de lo que oportunamente hayan pagado su empresa </w:t>
      </w:r>
      <w:proofErr w:type="spellStart"/>
      <w:r w:rsidRPr="00BF1357">
        <w:rPr>
          <w:rFonts w:eastAsia="Times New Roman"/>
          <w:b/>
          <w:bCs/>
          <w:color w:val="000000"/>
          <w:lang w:eastAsia="es-AR"/>
        </w:rPr>
        <w:t>mipyme</w:t>
      </w:r>
      <w:proofErr w:type="spellEnd"/>
      <w:r w:rsidRPr="00BF1357">
        <w:rPr>
          <w:rFonts w:eastAsia="Times New Roman"/>
          <w:b/>
          <w:bCs/>
          <w:color w:val="000000"/>
          <w:lang w:eastAsia="es-AR"/>
        </w:rPr>
        <w:t xml:space="preserve">. </w:t>
      </w:r>
      <w:r w:rsidRPr="00BF1357">
        <w:rPr>
          <w:rFonts w:eastAsia="Times New Roman"/>
          <w:color w:val="000000"/>
          <w:lang w:eastAsia="es-AR"/>
        </w:rPr>
        <w:t xml:space="preserve">En Brasil el régimen simplificado asciende a USD 1 millón, según información del consultor </w:t>
      </w:r>
      <w:r w:rsidRPr="00BF1357">
        <w:rPr>
          <w:rFonts w:eastAsia="Times New Roman"/>
          <w:b/>
          <w:bCs/>
          <w:color w:val="000000"/>
          <w:lang w:eastAsia="es-AR"/>
        </w:rPr>
        <w:t xml:space="preserve">Gustavo </w:t>
      </w:r>
      <w:proofErr w:type="spellStart"/>
      <w:r w:rsidRPr="00BF1357">
        <w:rPr>
          <w:rFonts w:eastAsia="Times New Roman"/>
          <w:b/>
          <w:bCs/>
          <w:color w:val="000000"/>
          <w:lang w:eastAsia="es-AR"/>
        </w:rPr>
        <w:t>Segré</w:t>
      </w:r>
      <w:proofErr w:type="spellEnd"/>
      <w:r w:rsidRPr="00BF1357">
        <w:rPr>
          <w:rFonts w:eastAsia="Times New Roman"/>
          <w:color w:val="000000"/>
          <w:lang w:eastAsia="es-AR"/>
        </w:rPr>
        <w:t>.</w:t>
      </w:r>
    </w:p>
    <w:p w:rsidR="00BF1357" w:rsidRPr="00BF1357" w:rsidRDefault="00BF1357" w:rsidP="00BF1357">
      <w:pPr>
        <w:spacing w:line="360" w:lineRule="auto"/>
        <w:jc w:val="both"/>
        <w:rPr>
          <w:rFonts w:eastAsia="Times New Roman"/>
          <w:color w:val="000000"/>
          <w:lang w:eastAsia="es-AR"/>
        </w:rPr>
      </w:pPr>
      <w:r w:rsidRPr="00BF1357">
        <w:rPr>
          <w:rFonts w:eastAsia="Times New Roman"/>
          <w:b/>
          <w:bCs/>
          <w:color w:val="000000"/>
          <w:lang w:eastAsia="es-AR"/>
        </w:rPr>
        <w:t xml:space="preserve">8 - Desarrollo </w:t>
      </w:r>
      <w:proofErr w:type="spellStart"/>
      <w:r w:rsidRPr="00BF1357">
        <w:rPr>
          <w:rFonts w:eastAsia="Times New Roman"/>
          <w:b/>
          <w:bCs/>
          <w:color w:val="000000"/>
          <w:lang w:eastAsia="es-AR"/>
        </w:rPr>
        <w:t>mipyme</w:t>
      </w:r>
      <w:proofErr w:type="spellEnd"/>
      <w:r w:rsidRPr="00BF1357">
        <w:rPr>
          <w:rFonts w:eastAsia="Times New Roman"/>
          <w:b/>
          <w:bCs/>
          <w:color w:val="000000"/>
          <w:lang w:eastAsia="es-AR"/>
        </w:rPr>
        <w:t xml:space="preserve"> regional. </w:t>
      </w:r>
      <w:r w:rsidRPr="00BF1357">
        <w:rPr>
          <w:rFonts w:eastAsia="Times New Roman"/>
          <w:color w:val="000000"/>
          <w:lang w:eastAsia="es-AR"/>
        </w:rPr>
        <w:t>Establecer bajos niveles de tributación en el nacimiento o estadio más bajo empresario es fundamental para la consolidación del desarrollo pyme.</w:t>
      </w:r>
    </w:p>
    <w:p w:rsidR="00BF1357" w:rsidRPr="00BF1357" w:rsidRDefault="00BF1357" w:rsidP="00BF1357">
      <w:pPr>
        <w:spacing w:line="360" w:lineRule="auto"/>
        <w:jc w:val="both"/>
        <w:rPr>
          <w:rFonts w:eastAsia="Times New Roman"/>
          <w:color w:val="000000"/>
          <w:lang w:eastAsia="es-AR"/>
        </w:rPr>
      </w:pPr>
      <w:r w:rsidRPr="00BF1357">
        <w:rPr>
          <w:rFonts w:eastAsia="Times New Roman"/>
          <w:color w:val="000000"/>
          <w:lang w:eastAsia="es-AR"/>
        </w:rPr>
        <w:t>De acuerdo a un informe del Banco Mundial, estos casos mostrados de crecimiento gradual de la tributación en relación a la facturación con régimen simplificados extensivos son ejemplo a seguir para el desarrollo pyme.</w:t>
      </w:r>
    </w:p>
    <w:p w:rsidR="00BF1357" w:rsidRPr="00BF1357" w:rsidRDefault="00BF1357" w:rsidP="00BF1357">
      <w:pPr>
        <w:spacing w:line="360" w:lineRule="auto"/>
        <w:jc w:val="both"/>
        <w:rPr>
          <w:rFonts w:eastAsia="Times New Roman"/>
          <w:color w:val="000000"/>
          <w:lang w:eastAsia="es-AR"/>
        </w:rPr>
      </w:pPr>
      <w:r w:rsidRPr="00BF1357">
        <w:rPr>
          <w:rFonts w:eastAsia="Times New Roman"/>
          <w:color w:val="000000"/>
          <w:lang w:eastAsia="es-AR"/>
        </w:rPr>
        <w:t xml:space="preserve">En Chile, la densidad empresarial de Pymes es de 58 empresas por cada 1.000 habitantes; en Uruguay es de 48 empresas y en Brasil es de 25. Argentina podría llegar a terminar </w:t>
      </w:r>
      <w:proofErr w:type="spellStart"/>
      <w:r w:rsidRPr="00BF1357">
        <w:rPr>
          <w:rFonts w:eastAsia="Times New Roman"/>
          <w:color w:val="000000"/>
          <w:lang w:eastAsia="es-AR"/>
        </w:rPr>
        <w:t>está</w:t>
      </w:r>
      <w:proofErr w:type="spellEnd"/>
      <w:r w:rsidRPr="00BF1357">
        <w:rPr>
          <w:rFonts w:eastAsia="Times New Roman"/>
          <w:color w:val="000000"/>
          <w:lang w:eastAsia="es-AR"/>
        </w:rPr>
        <w:t xml:space="preserve"> pandemia con solo 14 pymes por cada 1.000 habitantes. El número más bajo de densidad empresaria pyme de América Latina. </w:t>
      </w:r>
      <w:r w:rsidRPr="00BF1357">
        <w:rPr>
          <w:rFonts w:eastAsia="Times New Roman"/>
          <w:b/>
          <w:bCs/>
          <w:color w:val="000000"/>
          <w:lang w:eastAsia="es-AR"/>
        </w:rPr>
        <w:t>Veintidós años de frustración emprendedora tienen su costo.</w:t>
      </w:r>
      <w:r w:rsidRPr="00BF1357">
        <w:rPr>
          <w:rFonts w:eastAsia="Times New Roman"/>
          <w:color w:val="000000"/>
          <w:lang w:eastAsia="es-AR"/>
        </w:rPr>
        <w:t xml:space="preserve"> Es tiempo de modificar este contexto y no en sesiones extraordinarias, sin estudios, sin casos verificables y con solo el objetivo de incrementar la recaudación. </w:t>
      </w:r>
      <w:r w:rsidRPr="00BF1357">
        <w:rPr>
          <w:rFonts w:eastAsia="Times New Roman"/>
          <w:b/>
          <w:bCs/>
          <w:color w:val="000000"/>
          <w:lang w:eastAsia="es-AR"/>
        </w:rPr>
        <w:t>Hay que generar condiciones para un verdadero boom emprendedor en Argentina luego de la peor caída económica en los últimos 40 años que dejará la pandemia.</w:t>
      </w:r>
    </w:p>
    <w:p w:rsidR="00BF1357" w:rsidRPr="00534046" w:rsidRDefault="00BF1357" w:rsidP="00BF1357">
      <w:pPr>
        <w:jc w:val="both"/>
        <w:rPr>
          <w:rFonts w:ascii="Arial" w:hAnsi="Arial" w:cs="Arial"/>
          <w:sz w:val="20"/>
          <w:szCs w:val="20"/>
        </w:rPr>
      </w:pPr>
    </w:p>
    <w:p w:rsidR="007A076D" w:rsidRDefault="007A076D" w:rsidP="00E16F9C">
      <w:pPr>
        <w:pStyle w:val="NormalWeb"/>
        <w:spacing w:before="0" w:beforeAutospacing="0" w:after="0" w:afterAutospacing="0"/>
        <w:jc w:val="center"/>
        <w:rPr>
          <w:rFonts w:ascii="Arial" w:hAnsi="Arial" w:cs="Arial"/>
          <w:b/>
          <w:bCs/>
          <w:caps/>
          <w:color w:val="7E4F6F"/>
          <w:sz w:val="28"/>
          <w:szCs w:val="28"/>
        </w:rPr>
      </w:pPr>
    </w:p>
    <w:p w:rsidR="00E16F9C" w:rsidRDefault="00E16F9C" w:rsidP="00E16F9C">
      <w:pPr>
        <w:pStyle w:val="NormalWeb"/>
        <w:spacing w:before="0" w:beforeAutospacing="0" w:after="0" w:afterAutospacing="0"/>
        <w:jc w:val="center"/>
        <w:rPr>
          <w:rFonts w:ascii="Arial" w:hAnsi="Arial" w:cs="Arial"/>
          <w:b/>
          <w:bCs/>
          <w:caps/>
          <w:color w:val="7E4F6F"/>
          <w:sz w:val="28"/>
          <w:szCs w:val="28"/>
        </w:rPr>
      </w:pPr>
      <w:r w:rsidRPr="00E16F9C">
        <w:rPr>
          <w:rFonts w:ascii="Arial" w:hAnsi="Arial" w:cs="Arial"/>
          <w:b/>
          <w:bCs/>
          <w:caps/>
          <w:color w:val="7E4F6F"/>
          <w:sz w:val="28"/>
          <w:szCs w:val="28"/>
        </w:rPr>
        <w:t>LABORALES PREVISIONALES</w:t>
      </w:r>
    </w:p>
    <w:p w:rsidR="00E45BEF" w:rsidRDefault="00E45BEF" w:rsidP="00E45BEF">
      <w:pPr>
        <w:pStyle w:val="NormalWeb"/>
        <w:spacing w:before="0" w:beforeAutospacing="0" w:after="0" w:afterAutospacing="0" w:line="360" w:lineRule="auto"/>
        <w:jc w:val="both"/>
        <w:rPr>
          <w:iCs/>
          <w:color w:val="1C1C1C"/>
        </w:rPr>
      </w:pPr>
    </w:p>
    <w:p w:rsidR="00E45BEF" w:rsidRDefault="00E45BEF" w:rsidP="00E45BEF">
      <w:pPr>
        <w:pStyle w:val="NormalWeb"/>
        <w:spacing w:before="0" w:beforeAutospacing="0" w:after="0" w:afterAutospacing="0" w:line="360" w:lineRule="auto"/>
        <w:jc w:val="both"/>
        <w:rPr>
          <w:rFonts w:ascii="Arial" w:hAnsi="Arial" w:cs="Arial"/>
          <w:b/>
          <w:bCs/>
          <w:caps/>
          <w:color w:val="7E4F6F"/>
          <w:sz w:val="21"/>
          <w:szCs w:val="21"/>
        </w:rPr>
      </w:pPr>
      <w:r w:rsidRPr="00E45BEF">
        <w:rPr>
          <w:rFonts w:ascii="Arial" w:hAnsi="Arial" w:cs="Arial"/>
          <w:b/>
          <w:bCs/>
          <w:caps/>
          <w:color w:val="7E4F6F"/>
          <w:sz w:val="21"/>
          <w:szCs w:val="21"/>
        </w:rPr>
        <w:t>Autónomos</w:t>
      </w:r>
    </w:p>
    <w:p w:rsidR="00E45BEF" w:rsidRDefault="00E45BEF" w:rsidP="00E45BEF">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Se incrementan los aportes a partir de diciembre</w:t>
      </w:r>
    </w:p>
    <w:p w:rsidR="00E45BEF" w:rsidRDefault="00E45BEF" w:rsidP="00E45BEF">
      <w:pPr>
        <w:pStyle w:val="NormalWeb"/>
        <w:spacing w:before="0" w:beforeAutospacing="0" w:after="0" w:afterAutospacing="0" w:line="360" w:lineRule="auto"/>
        <w:jc w:val="both"/>
        <w:rPr>
          <w:rFonts w:ascii="Arial" w:hAnsi="Arial" w:cs="Arial"/>
          <w:b/>
          <w:bCs/>
          <w:caps/>
          <w:color w:val="7E4F6F"/>
          <w:sz w:val="21"/>
          <w:szCs w:val="21"/>
        </w:rPr>
      </w:pPr>
    </w:p>
    <w:p w:rsidR="00E45BEF" w:rsidRDefault="00E45BEF" w:rsidP="00E45BEF">
      <w:pPr>
        <w:pStyle w:val="NormalWeb"/>
        <w:spacing w:before="0" w:beforeAutospacing="0" w:after="0" w:afterAutospacing="0" w:line="360" w:lineRule="auto"/>
        <w:jc w:val="both"/>
        <w:rPr>
          <w:iCs/>
          <w:color w:val="1C1C1C"/>
        </w:rPr>
      </w:pPr>
      <w:r w:rsidRPr="00E45BEF">
        <w:rPr>
          <w:iCs/>
          <w:color w:val="1C1C1C"/>
        </w:rPr>
        <w:lastRenderedPageBreak/>
        <w:t xml:space="preserve">La Administración Federal de Ingresos Públicos </w:t>
      </w:r>
      <w:proofErr w:type="spellStart"/>
      <w:r w:rsidRPr="00E45BEF">
        <w:rPr>
          <w:iCs/>
          <w:color w:val="1C1C1C"/>
        </w:rPr>
        <w:t>dió</w:t>
      </w:r>
      <w:proofErr w:type="spellEnd"/>
      <w:r w:rsidRPr="00E45BEF">
        <w:rPr>
          <w:iCs/>
          <w:color w:val="1C1C1C"/>
        </w:rPr>
        <w:t xml:space="preserve"> a conocer los nuevos valores de los aportes mensuales de los trabajadores autónomos con destino a la Seguridad Social que se incrementan a partir del mes devengado diciembre, con vencimiento durante el mes de enero de 2021.</w:t>
      </w:r>
    </w:p>
    <w:p w:rsidR="00E45BEF" w:rsidRDefault="00E45BEF" w:rsidP="00E45BEF">
      <w:pPr>
        <w:pStyle w:val="NormalWeb"/>
        <w:spacing w:before="0" w:beforeAutospacing="0" w:after="0" w:afterAutospacing="0" w:line="360" w:lineRule="auto"/>
        <w:jc w:val="both"/>
        <w:rPr>
          <w:iCs/>
          <w:color w:val="1C1C1C"/>
        </w:rPr>
      </w:pPr>
      <w:r w:rsidRPr="00E45BEF">
        <w:rPr>
          <w:iCs/>
          <w:color w:val="1C1C1C"/>
        </w:rPr>
        <w:t>Recordamos que los nuevos valores son los que surgen del índice de movilidad jubilatoria del 5% establecido por el decreto 899/2020 y que rige a partir del período diciembre 2020.</w:t>
      </w:r>
    </w:p>
    <w:tbl>
      <w:tblPr>
        <w:tblW w:w="8657" w:type="dxa"/>
        <w:tblInd w:w="55" w:type="dxa"/>
        <w:tblCellMar>
          <w:left w:w="70" w:type="dxa"/>
          <w:right w:w="70" w:type="dxa"/>
        </w:tblCellMar>
        <w:tblLook w:val="04A0"/>
      </w:tblPr>
      <w:tblGrid>
        <w:gridCol w:w="1189"/>
        <w:gridCol w:w="1356"/>
        <w:gridCol w:w="1182"/>
        <w:gridCol w:w="1182"/>
        <w:gridCol w:w="1182"/>
        <w:gridCol w:w="1283"/>
        <w:gridCol w:w="1283"/>
      </w:tblGrid>
      <w:tr w:rsidR="004B5AF4" w:rsidRPr="004B5AF4" w:rsidTr="004B5AF4">
        <w:trPr>
          <w:trHeight w:val="350"/>
        </w:trPr>
        <w:tc>
          <w:tcPr>
            <w:tcW w:w="1189" w:type="dxa"/>
            <w:vMerge w:val="restart"/>
            <w:tcBorders>
              <w:top w:val="single" w:sz="4" w:space="0" w:color="auto"/>
              <w:left w:val="single" w:sz="4" w:space="0" w:color="auto"/>
              <w:bottom w:val="single" w:sz="8" w:space="0" w:color="000000"/>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b/>
                <w:bCs/>
                <w:color w:val="000000"/>
                <w:sz w:val="16"/>
                <w:szCs w:val="16"/>
                <w:lang w:val="es-AR" w:eastAsia="es-AR"/>
              </w:rPr>
            </w:pPr>
            <w:r w:rsidRPr="004B5AF4">
              <w:rPr>
                <w:rFonts w:ascii="Verdana" w:eastAsia="Times New Roman" w:hAnsi="Verdana"/>
                <w:b/>
                <w:bCs/>
                <w:color w:val="000000"/>
                <w:sz w:val="16"/>
                <w:szCs w:val="16"/>
                <w:lang w:eastAsia="es-AR"/>
              </w:rPr>
              <w:t>Concepto</w:t>
            </w:r>
          </w:p>
        </w:tc>
        <w:tc>
          <w:tcPr>
            <w:tcW w:w="1356" w:type="dxa"/>
            <w:vMerge w:val="restart"/>
            <w:tcBorders>
              <w:top w:val="single" w:sz="4" w:space="0" w:color="auto"/>
              <w:left w:val="single" w:sz="8" w:space="0" w:color="000000"/>
              <w:bottom w:val="single" w:sz="8" w:space="0" w:color="000000"/>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b/>
                <w:bCs/>
                <w:color w:val="000000"/>
                <w:sz w:val="16"/>
                <w:szCs w:val="16"/>
                <w:lang w:val="es-AR" w:eastAsia="es-AR"/>
              </w:rPr>
            </w:pPr>
            <w:r w:rsidRPr="004B5AF4">
              <w:rPr>
                <w:rFonts w:ascii="Verdana" w:eastAsia="Times New Roman" w:hAnsi="Verdana"/>
                <w:b/>
                <w:bCs/>
                <w:color w:val="000000"/>
                <w:sz w:val="16"/>
                <w:szCs w:val="16"/>
                <w:lang w:eastAsia="es-AR"/>
              </w:rPr>
              <w:t>Porcentaje</w:t>
            </w:r>
          </w:p>
        </w:tc>
        <w:tc>
          <w:tcPr>
            <w:tcW w:w="6110" w:type="dxa"/>
            <w:gridSpan w:val="5"/>
            <w:tcBorders>
              <w:top w:val="single" w:sz="4" w:space="0" w:color="auto"/>
              <w:left w:val="nil"/>
              <w:bottom w:val="single" w:sz="8" w:space="0" w:color="000000"/>
              <w:right w:val="single" w:sz="4" w:space="0" w:color="auto"/>
            </w:tcBorders>
            <w:shd w:val="clear" w:color="auto" w:fill="auto"/>
            <w:vAlign w:val="bottom"/>
            <w:hideMark/>
          </w:tcPr>
          <w:p w:rsidR="004B5AF4" w:rsidRPr="004B5AF4" w:rsidRDefault="004B5AF4" w:rsidP="004B5AF4">
            <w:pPr>
              <w:jc w:val="center"/>
              <w:rPr>
                <w:rFonts w:ascii="Verdana" w:eastAsia="Times New Roman" w:hAnsi="Verdana"/>
                <w:b/>
                <w:bCs/>
                <w:color w:val="000000"/>
                <w:sz w:val="16"/>
                <w:szCs w:val="16"/>
                <w:lang w:val="es-AR" w:eastAsia="es-AR"/>
              </w:rPr>
            </w:pPr>
            <w:r w:rsidRPr="004B5AF4">
              <w:rPr>
                <w:rFonts w:ascii="Verdana" w:eastAsia="Times New Roman" w:hAnsi="Verdana"/>
                <w:b/>
                <w:bCs/>
                <w:color w:val="000000"/>
                <w:sz w:val="16"/>
                <w:szCs w:val="16"/>
                <w:lang w:eastAsia="es-AR"/>
              </w:rPr>
              <w:t>Vigencia: desde el 1/12/2020</w:t>
            </w:r>
          </w:p>
        </w:tc>
      </w:tr>
      <w:tr w:rsidR="004B5AF4" w:rsidRPr="004B5AF4" w:rsidTr="004B5AF4">
        <w:trPr>
          <w:trHeight w:val="334"/>
        </w:trPr>
        <w:tc>
          <w:tcPr>
            <w:tcW w:w="1189" w:type="dxa"/>
            <w:vMerge/>
            <w:tcBorders>
              <w:top w:val="single" w:sz="12" w:space="0" w:color="000000"/>
              <w:left w:val="single" w:sz="4" w:space="0" w:color="auto"/>
              <w:bottom w:val="single" w:sz="8" w:space="0" w:color="000000"/>
              <w:right w:val="single" w:sz="8" w:space="0" w:color="000000"/>
            </w:tcBorders>
            <w:vAlign w:val="center"/>
            <w:hideMark/>
          </w:tcPr>
          <w:p w:rsidR="004B5AF4" w:rsidRPr="004B5AF4" w:rsidRDefault="004B5AF4" w:rsidP="004B5AF4">
            <w:pPr>
              <w:rPr>
                <w:rFonts w:ascii="Verdana" w:eastAsia="Times New Roman" w:hAnsi="Verdana"/>
                <w:b/>
                <w:bCs/>
                <w:color w:val="000000"/>
                <w:sz w:val="16"/>
                <w:szCs w:val="16"/>
                <w:lang w:val="es-AR" w:eastAsia="es-AR"/>
              </w:rPr>
            </w:pPr>
          </w:p>
        </w:tc>
        <w:tc>
          <w:tcPr>
            <w:tcW w:w="1356" w:type="dxa"/>
            <w:vMerge/>
            <w:tcBorders>
              <w:top w:val="single" w:sz="12" w:space="0" w:color="000000"/>
              <w:left w:val="single" w:sz="8" w:space="0" w:color="000000"/>
              <w:bottom w:val="single" w:sz="8" w:space="0" w:color="000000"/>
              <w:right w:val="single" w:sz="8" w:space="0" w:color="000000"/>
            </w:tcBorders>
            <w:vAlign w:val="center"/>
            <w:hideMark/>
          </w:tcPr>
          <w:p w:rsidR="004B5AF4" w:rsidRPr="004B5AF4" w:rsidRDefault="004B5AF4" w:rsidP="004B5AF4">
            <w:pPr>
              <w:rPr>
                <w:rFonts w:ascii="Verdana" w:eastAsia="Times New Roman" w:hAnsi="Verdana"/>
                <w:b/>
                <w:bCs/>
                <w:color w:val="000000"/>
                <w:sz w:val="16"/>
                <w:szCs w:val="16"/>
                <w:lang w:val="es-AR" w:eastAsia="es-AR"/>
              </w:rPr>
            </w:pPr>
          </w:p>
        </w:tc>
        <w:tc>
          <w:tcPr>
            <w:tcW w:w="1182" w:type="dxa"/>
            <w:tcBorders>
              <w:top w:val="nil"/>
              <w:left w:val="nil"/>
              <w:bottom w:val="single" w:sz="8" w:space="0" w:color="000000"/>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b/>
                <w:bCs/>
                <w:color w:val="000000"/>
                <w:sz w:val="16"/>
                <w:szCs w:val="16"/>
                <w:lang w:val="es-AR" w:eastAsia="es-AR"/>
              </w:rPr>
            </w:pPr>
            <w:r w:rsidRPr="004B5AF4">
              <w:rPr>
                <w:rFonts w:ascii="Verdana" w:eastAsia="Times New Roman" w:hAnsi="Verdana"/>
                <w:b/>
                <w:bCs/>
                <w:color w:val="000000"/>
                <w:sz w:val="16"/>
                <w:szCs w:val="16"/>
                <w:lang w:eastAsia="es-AR"/>
              </w:rPr>
              <w:t>I</w:t>
            </w:r>
          </w:p>
        </w:tc>
        <w:tc>
          <w:tcPr>
            <w:tcW w:w="1182" w:type="dxa"/>
            <w:tcBorders>
              <w:top w:val="nil"/>
              <w:left w:val="nil"/>
              <w:bottom w:val="single" w:sz="8" w:space="0" w:color="000000"/>
              <w:right w:val="nil"/>
            </w:tcBorders>
            <w:shd w:val="clear" w:color="auto" w:fill="auto"/>
            <w:vAlign w:val="bottom"/>
            <w:hideMark/>
          </w:tcPr>
          <w:p w:rsidR="004B5AF4" w:rsidRPr="004B5AF4" w:rsidRDefault="004B5AF4" w:rsidP="004B5AF4">
            <w:pPr>
              <w:jc w:val="center"/>
              <w:rPr>
                <w:rFonts w:ascii="Verdana" w:eastAsia="Times New Roman" w:hAnsi="Verdana"/>
                <w:b/>
                <w:bCs/>
                <w:color w:val="000000"/>
                <w:sz w:val="16"/>
                <w:szCs w:val="16"/>
                <w:lang w:val="es-AR" w:eastAsia="es-AR"/>
              </w:rPr>
            </w:pPr>
            <w:r w:rsidRPr="004B5AF4">
              <w:rPr>
                <w:rFonts w:ascii="Verdana" w:eastAsia="Times New Roman" w:hAnsi="Verdana"/>
                <w:b/>
                <w:bCs/>
                <w:color w:val="000000"/>
                <w:sz w:val="16"/>
                <w:szCs w:val="16"/>
                <w:lang w:eastAsia="es-AR"/>
              </w:rPr>
              <w:t>II</w:t>
            </w:r>
          </w:p>
        </w:tc>
        <w:tc>
          <w:tcPr>
            <w:tcW w:w="1182" w:type="dxa"/>
            <w:tcBorders>
              <w:top w:val="nil"/>
              <w:left w:val="nil"/>
              <w:bottom w:val="single" w:sz="8" w:space="0" w:color="000000"/>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b/>
                <w:bCs/>
                <w:color w:val="000000"/>
                <w:sz w:val="16"/>
                <w:szCs w:val="16"/>
                <w:lang w:val="es-AR" w:eastAsia="es-AR"/>
              </w:rPr>
            </w:pPr>
            <w:r w:rsidRPr="004B5AF4">
              <w:rPr>
                <w:rFonts w:ascii="Verdana" w:eastAsia="Times New Roman" w:hAnsi="Verdana"/>
                <w:b/>
                <w:bCs/>
                <w:color w:val="000000"/>
                <w:sz w:val="16"/>
                <w:szCs w:val="16"/>
                <w:lang w:eastAsia="es-AR"/>
              </w:rPr>
              <w:t>III</w:t>
            </w:r>
          </w:p>
        </w:tc>
        <w:tc>
          <w:tcPr>
            <w:tcW w:w="1283" w:type="dxa"/>
            <w:tcBorders>
              <w:top w:val="nil"/>
              <w:left w:val="nil"/>
              <w:bottom w:val="single" w:sz="8" w:space="0" w:color="000000"/>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b/>
                <w:bCs/>
                <w:color w:val="000000"/>
                <w:sz w:val="16"/>
                <w:szCs w:val="16"/>
                <w:lang w:val="es-AR" w:eastAsia="es-AR"/>
              </w:rPr>
            </w:pPr>
            <w:r w:rsidRPr="004B5AF4">
              <w:rPr>
                <w:rFonts w:ascii="Verdana" w:eastAsia="Times New Roman" w:hAnsi="Verdana"/>
                <w:b/>
                <w:bCs/>
                <w:color w:val="000000"/>
                <w:sz w:val="16"/>
                <w:szCs w:val="16"/>
                <w:lang w:eastAsia="es-AR"/>
              </w:rPr>
              <w:t>IV</w:t>
            </w:r>
          </w:p>
        </w:tc>
        <w:tc>
          <w:tcPr>
            <w:tcW w:w="1283" w:type="dxa"/>
            <w:tcBorders>
              <w:top w:val="nil"/>
              <w:left w:val="nil"/>
              <w:bottom w:val="single" w:sz="8" w:space="0" w:color="000000"/>
              <w:right w:val="single" w:sz="4" w:space="0" w:color="auto"/>
            </w:tcBorders>
            <w:shd w:val="clear" w:color="auto" w:fill="auto"/>
            <w:vAlign w:val="bottom"/>
            <w:hideMark/>
          </w:tcPr>
          <w:p w:rsidR="004B5AF4" w:rsidRPr="004B5AF4" w:rsidRDefault="004B5AF4" w:rsidP="004B5AF4">
            <w:pPr>
              <w:jc w:val="center"/>
              <w:rPr>
                <w:rFonts w:ascii="Verdana" w:eastAsia="Times New Roman" w:hAnsi="Verdana"/>
                <w:b/>
                <w:bCs/>
                <w:color w:val="000000"/>
                <w:sz w:val="16"/>
                <w:szCs w:val="16"/>
                <w:lang w:val="es-AR" w:eastAsia="es-AR"/>
              </w:rPr>
            </w:pPr>
            <w:r w:rsidRPr="004B5AF4">
              <w:rPr>
                <w:rFonts w:ascii="Verdana" w:eastAsia="Times New Roman" w:hAnsi="Verdana"/>
                <w:b/>
                <w:bCs/>
                <w:color w:val="000000"/>
                <w:sz w:val="16"/>
                <w:szCs w:val="16"/>
                <w:lang w:eastAsia="es-AR"/>
              </w:rPr>
              <w:t>V</w:t>
            </w:r>
          </w:p>
        </w:tc>
      </w:tr>
      <w:tr w:rsidR="004B5AF4" w:rsidRPr="004B5AF4" w:rsidTr="004B5AF4">
        <w:trPr>
          <w:trHeight w:val="493"/>
        </w:trPr>
        <w:tc>
          <w:tcPr>
            <w:tcW w:w="1189" w:type="dxa"/>
            <w:tcBorders>
              <w:top w:val="nil"/>
              <w:left w:val="single" w:sz="4" w:space="0" w:color="auto"/>
              <w:bottom w:val="single" w:sz="8" w:space="0" w:color="000000"/>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Renta imponible</w:t>
            </w:r>
          </w:p>
        </w:tc>
        <w:tc>
          <w:tcPr>
            <w:tcW w:w="1356" w:type="dxa"/>
            <w:tcBorders>
              <w:top w:val="nil"/>
              <w:left w:val="nil"/>
              <w:bottom w:val="single" w:sz="8" w:space="0" w:color="000000"/>
              <w:right w:val="single" w:sz="8" w:space="0" w:color="000000"/>
            </w:tcBorders>
            <w:shd w:val="clear" w:color="auto" w:fill="auto"/>
            <w:vAlign w:val="bottom"/>
            <w:hideMark/>
          </w:tcPr>
          <w:p w:rsidR="004B5AF4" w:rsidRPr="004B5AF4" w:rsidRDefault="004B5AF4" w:rsidP="004B5AF4">
            <w:pPr>
              <w:jc w:val="center"/>
              <w:rPr>
                <w:rFonts w:eastAsia="Times New Roman"/>
                <w:color w:val="000000"/>
                <w:sz w:val="16"/>
                <w:szCs w:val="16"/>
                <w:lang w:val="es-AR" w:eastAsia="es-AR"/>
              </w:rPr>
            </w:pPr>
            <w:r w:rsidRPr="004B5AF4">
              <w:rPr>
                <w:rFonts w:eastAsia="Times New Roman"/>
                <w:color w:val="000000"/>
                <w:sz w:val="16"/>
                <w:szCs w:val="16"/>
                <w:lang w:eastAsia="es-AR"/>
              </w:rPr>
              <w:t> </w:t>
            </w:r>
          </w:p>
        </w:tc>
        <w:tc>
          <w:tcPr>
            <w:tcW w:w="1182" w:type="dxa"/>
            <w:tcBorders>
              <w:top w:val="nil"/>
              <w:left w:val="nil"/>
              <w:bottom w:val="single" w:sz="8" w:space="0" w:color="000000"/>
              <w:right w:val="nil"/>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10.685,00</w:t>
            </w:r>
          </w:p>
        </w:tc>
        <w:tc>
          <w:tcPr>
            <w:tcW w:w="1182" w:type="dxa"/>
            <w:tcBorders>
              <w:top w:val="nil"/>
              <w:left w:val="nil"/>
              <w:bottom w:val="single" w:sz="8" w:space="0" w:color="000000"/>
              <w:right w:val="nil"/>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14.958,92</w:t>
            </w:r>
          </w:p>
        </w:tc>
        <w:tc>
          <w:tcPr>
            <w:tcW w:w="1182" w:type="dxa"/>
            <w:tcBorders>
              <w:top w:val="nil"/>
              <w:left w:val="nil"/>
              <w:bottom w:val="single" w:sz="8" w:space="0" w:color="000000"/>
              <w:right w:val="nil"/>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21.369,96</w:t>
            </w:r>
          </w:p>
        </w:tc>
        <w:tc>
          <w:tcPr>
            <w:tcW w:w="1283" w:type="dxa"/>
            <w:tcBorders>
              <w:top w:val="nil"/>
              <w:left w:val="nil"/>
              <w:bottom w:val="single" w:sz="8" w:space="0" w:color="000000"/>
              <w:right w:val="nil"/>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34.191,92</w:t>
            </w:r>
          </w:p>
        </w:tc>
        <w:tc>
          <w:tcPr>
            <w:tcW w:w="1283" w:type="dxa"/>
            <w:tcBorders>
              <w:top w:val="nil"/>
              <w:left w:val="nil"/>
              <w:bottom w:val="single" w:sz="8" w:space="0" w:color="000000"/>
              <w:right w:val="single" w:sz="4" w:space="0" w:color="auto"/>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47.013,80</w:t>
            </w:r>
          </w:p>
        </w:tc>
      </w:tr>
      <w:tr w:rsidR="004B5AF4" w:rsidRPr="004B5AF4" w:rsidTr="004B5AF4">
        <w:trPr>
          <w:trHeight w:val="716"/>
        </w:trPr>
        <w:tc>
          <w:tcPr>
            <w:tcW w:w="1189" w:type="dxa"/>
            <w:tcBorders>
              <w:top w:val="nil"/>
              <w:left w:val="single" w:sz="4" w:space="0" w:color="auto"/>
              <w:bottom w:val="nil"/>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Aporte personal jubilación</w:t>
            </w:r>
          </w:p>
        </w:tc>
        <w:tc>
          <w:tcPr>
            <w:tcW w:w="1356" w:type="dxa"/>
            <w:tcBorders>
              <w:top w:val="nil"/>
              <w:left w:val="nil"/>
              <w:bottom w:val="single" w:sz="8" w:space="0" w:color="000000"/>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16</w:t>
            </w:r>
          </w:p>
        </w:tc>
        <w:tc>
          <w:tcPr>
            <w:tcW w:w="1182" w:type="dxa"/>
            <w:tcBorders>
              <w:top w:val="nil"/>
              <w:left w:val="nil"/>
              <w:bottom w:val="single" w:sz="8" w:space="0" w:color="000000"/>
              <w:right w:val="nil"/>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1.709,60</w:t>
            </w:r>
          </w:p>
        </w:tc>
        <w:tc>
          <w:tcPr>
            <w:tcW w:w="1182" w:type="dxa"/>
            <w:tcBorders>
              <w:top w:val="nil"/>
              <w:left w:val="nil"/>
              <w:bottom w:val="single" w:sz="8" w:space="0" w:color="000000"/>
              <w:right w:val="nil"/>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2.393,43</w:t>
            </w:r>
          </w:p>
        </w:tc>
        <w:tc>
          <w:tcPr>
            <w:tcW w:w="1182" w:type="dxa"/>
            <w:tcBorders>
              <w:top w:val="nil"/>
              <w:left w:val="nil"/>
              <w:bottom w:val="single" w:sz="8" w:space="0" w:color="000000"/>
              <w:right w:val="nil"/>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3.419,19</w:t>
            </w:r>
          </w:p>
        </w:tc>
        <w:tc>
          <w:tcPr>
            <w:tcW w:w="1283" w:type="dxa"/>
            <w:tcBorders>
              <w:top w:val="nil"/>
              <w:left w:val="nil"/>
              <w:bottom w:val="single" w:sz="8" w:space="0" w:color="000000"/>
              <w:right w:val="nil"/>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5.470,71</w:t>
            </w:r>
          </w:p>
        </w:tc>
        <w:tc>
          <w:tcPr>
            <w:tcW w:w="1283" w:type="dxa"/>
            <w:tcBorders>
              <w:top w:val="nil"/>
              <w:left w:val="nil"/>
              <w:bottom w:val="single" w:sz="8" w:space="0" w:color="000000"/>
              <w:right w:val="single" w:sz="4" w:space="0" w:color="auto"/>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7.522,21</w:t>
            </w:r>
          </w:p>
        </w:tc>
      </w:tr>
      <w:tr w:rsidR="004B5AF4" w:rsidRPr="004B5AF4" w:rsidTr="004B5AF4">
        <w:trPr>
          <w:trHeight w:val="334"/>
        </w:trPr>
        <w:tc>
          <w:tcPr>
            <w:tcW w:w="1189" w:type="dxa"/>
            <w:tcBorders>
              <w:top w:val="nil"/>
              <w:left w:val="single" w:sz="4" w:space="0" w:color="auto"/>
              <w:bottom w:val="single" w:sz="8" w:space="0" w:color="000000"/>
              <w:right w:val="single" w:sz="8" w:space="0" w:color="000000"/>
            </w:tcBorders>
            <w:shd w:val="clear" w:color="auto" w:fill="auto"/>
            <w:vAlign w:val="bottom"/>
            <w:hideMark/>
          </w:tcPr>
          <w:p w:rsidR="004B5AF4" w:rsidRPr="004B5AF4" w:rsidRDefault="004B5AF4" w:rsidP="004B5AF4">
            <w:pPr>
              <w:jc w:val="center"/>
              <w:rPr>
                <w:rFonts w:ascii="Calibri" w:eastAsia="Times New Roman" w:hAnsi="Calibri"/>
                <w:color w:val="0000FF"/>
                <w:u w:val="single"/>
                <w:lang w:val="es-AR" w:eastAsia="es-AR"/>
              </w:rPr>
            </w:pPr>
          </w:p>
        </w:tc>
        <w:tc>
          <w:tcPr>
            <w:tcW w:w="1356" w:type="dxa"/>
            <w:tcBorders>
              <w:top w:val="nil"/>
              <w:left w:val="nil"/>
              <w:bottom w:val="single" w:sz="8" w:space="0" w:color="000000"/>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Pr>
                <w:rFonts w:ascii="Verdana" w:eastAsia="Times New Roman" w:hAnsi="Verdana"/>
                <w:color w:val="000000"/>
                <w:sz w:val="16"/>
                <w:szCs w:val="16"/>
                <w:lang w:eastAsia="es-AR"/>
              </w:rPr>
              <w:t xml:space="preserve">11 </w:t>
            </w:r>
            <w:r w:rsidRPr="004B5AF4">
              <w:rPr>
                <w:rFonts w:ascii="Verdana" w:eastAsia="Times New Roman" w:hAnsi="Verdana"/>
                <w:color w:val="000000"/>
                <w:sz w:val="16"/>
                <w:szCs w:val="16"/>
                <w:lang w:eastAsia="es-AR"/>
              </w:rPr>
              <w:t>-14</w:t>
            </w:r>
          </w:p>
        </w:tc>
        <w:tc>
          <w:tcPr>
            <w:tcW w:w="1182" w:type="dxa"/>
            <w:tcBorders>
              <w:top w:val="nil"/>
              <w:left w:val="nil"/>
              <w:bottom w:val="single" w:sz="8" w:space="0" w:color="000000"/>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1.175,35</w:t>
            </w:r>
          </w:p>
        </w:tc>
        <w:tc>
          <w:tcPr>
            <w:tcW w:w="1182" w:type="dxa"/>
            <w:tcBorders>
              <w:top w:val="nil"/>
              <w:left w:val="nil"/>
              <w:bottom w:val="single" w:sz="8" w:space="0" w:color="000000"/>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1.645,48</w:t>
            </w:r>
          </w:p>
        </w:tc>
        <w:tc>
          <w:tcPr>
            <w:tcW w:w="1182" w:type="dxa"/>
            <w:tcBorders>
              <w:top w:val="nil"/>
              <w:left w:val="nil"/>
              <w:bottom w:val="single" w:sz="8" w:space="0" w:color="000000"/>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2.350,69</w:t>
            </w:r>
          </w:p>
        </w:tc>
        <w:tc>
          <w:tcPr>
            <w:tcW w:w="1283" w:type="dxa"/>
            <w:tcBorders>
              <w:top w:val="nil"/>
              <w:left w:val="nil"/>
              <w:bottom w:val="single" w:sz="8" w:space="0" w:color="000000"/>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3.761,11</w:t>
            </w:r>
          </w:p>
        </w:tc>
        <w:tc>
          <w:tcPr>
            <w:tcW w:w="1283" w:type="dxa"/>
            <w:tcBorders>
              <w:top w:val="nil"/>
              <w:left w:val="nil"/>
              <w:bottom w:val="single" w:sz="8" w:space="0" w:color="000000"/>
              <w:right w:val="single" w:sz="4" w:space="0" w:color="auto"/>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5.171,52</w:t>
            </w:r>
          </w:p>
        </w:tc>
      </w:tr>
      <w:tr w:rsidR="004B5AF4" w:rsidRPr="004B5AF4" w:rsidTr="004B5AF4">
        <w:trPr>
          <w:trHeight w:val="334"/>
        </w:trPr>
        <w:tc>
          <w:tcPr>
            <w:tcW w:w="1189" w:type="dxa"/>
            <w:tcBorders>
              <w:top w:val="nil"/>
              <w:left w:val="single" w:sz="4" w:space="0" w:color="auto"/>
              <w:bottom w:val="nil"/>
              <w:right w:val="single" w:sz="8" w:space="0" w:color="000000"/>
            </w:tcBorders>
            <w:shd w:val="clear" w:color="auto" w:fill="auto"/>
            <w:vAlign w:val="bottom"/>
            <w:hideMark/>
          </w:tcPr>
          <w:p w:rsidR="004B5AF4" w:rsidRPr="004B5AF4" w:rsidRDefault="0094628C" w:rsidP="004B5AF4">
            <w:pPr>
              <w:jc w:val="center"/>
              <w:rPr>
                <w:rFonts w:ascii="Verdana" w:eastAsia="Times New Roman" w:hAnsi="Verdana"/>
                <w:color w:val="000000"/>
                <w:sz w:val="16"/>
                <w:szCs w:val="16"/>
                <w:lang w:val="es-AR" w:eastAsia="es-AR"/>
              </w:rPr>
            </w:pPr>
            <w:hyperlink r:id="rId9" w:anchor="q3" w:tgtFrame="_self" w:history="1">
              <w:r w:rsidR="004B5AF4" w:rsidRPr="004B5AF4">
                <w:rPr>
                  <w:rFonts w:ascii="Verdana" w:eastAsia="Times New Roman" w:hAnsi="Verdana"/>
                  <w:color w:val="000000"/>
                  <w:sz w:val="16"/>
                  <w:lang w:eastAsia="es-AR"/>
                </w:rPr>
                <w:t>INSSJP</w:t>
              </w:r>
            </w:hyperlink>
          </w:p>
        </w:tc>
        <w:tc>
          <w:tcPr>
            <w:tcW w:w="1356" w:type="dxa"/>
            <w:tcBorders>
              <w:top w:val="nil"/>
              <w:left w:val="nil"/>
              <w:bottom w:val="single" w:sz="8" w:space="0" w:color="000000"/>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5</w:t>
            </w:r>
          </w:p>
        </w:tc>
        <w:tc>
          <w:tcPr>
            <w:tcW w:w="1182" w:type="dxa"/>
            <w:tcBorders>
              <w:top w:val="nil"/>
              <w:left w:val="nil"/>
              <w:bottom w:val="single" w:sz="8" w:space="0" w:color="000000"/>
              <w:right w:val="nil"/>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534,25</w:t>
            </w:r>
          </w:p>
        </w:tc>
        <w:tc>
          <w:tcPr>
            <w:tcW w:w="1182" w:type="dxa"/>
            <w:tcBorders>
              <w:top w:val="nil"/>
              <w:left w:val="nil"/>
              <w:bottom w:val="single" w:sz="8" w:space="0" w:color="000000"/>
              <w:right w:val="nil"/>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747,95</w:t>
            </w:r>
          </w:p>
        </w:tc>
        <w:tc>
          <w:tcPr>
            <w:tcW w:w="1182" w:type="dxa"/>
            <w:tcBorders>
              <w:top w:val="nil"/>
              <w:left w:val="nil"/>
              <w:bottom w:val="single" w:sz="8" w:space="0" w:color="000000"/>
              <w:right w:val="nil"/>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1.068,50</w:t>
            </w:r>
          </w:p>
        </w:tc>
        <w:tc>
          <w:tcPr>
            <w:tcW w:w="1283" w:type="dxa"/>
            <w:tcBorders>
              <w:top w:val="nil"/>
              <w:left w:val="nil"/>
              <w:bottom w:val="single" w:sz="8" w:space="0" w:color="000000"/>
              <w:right w:val="nil"/>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1.709,60</w:t>
            </w:r>
          </w:p>
        </w:tc>
        <w:tc>
          <w:tcPr>
            <w:tcW w:w="1283" w:type="dxa"/>
            <w:tcBorders>
              <w:top w:val="nil"/>
              <w:left w:val="nil"/>
              <w:bottom w:val="single" w:sz="8" w:space="0" w:color="000000"/>
              <w:right w:val="single" w:sz="4" w:space="0" w:color="auto"/>
            </w:tcBorders>
            <w:shd w:val="clear" w:color="auto" w:fill="auto"/>
            <w:vAlign w:val="bottom"/>
            <w:hideMark/>
          </w:tcPr>
          <w:p w:rsidR="004B5AF4" w:rsidRPr="004B5AF4" w:rsidRDefault="004B5AF4" w:rsidP="004B5AF4">
            <w:pPr>
              <w:jc w:val="center"/>
              <w:rPr>
                <w:rFonts w:ascii="Verdana" w:eastAsia="Times New Roman" w:hAnsi="Verdana"/>
                <w:color w:val="000000"/>
                <w:sz w:val="16"/>
                <w:szCs w:val="16"/>
                <w:lang w:val="es-AR" w:eastAsia="es-AR"/>
              </w:rPr>
            </w:pPr>
            <w:r w:rsidRPr="004B5AF4">
              <w:rPr>
                <w:rFonts w:ascii="Verdana" w:eastAsia="Times New Roman" w:hAnsi="Verdana"/>
                <w:color w:val="000000"/>
                <w:sz w:val="16"/>
                <w:szCs w:val="16"/>
                <w:lang w:eastAsia="es-AR"/>
              </w:rPr>
              <w:t>2.350,69</w:t>
            </w:r>
          </w:p>
        </w:tc>
      </w:tr>
      <w:tr w:rsidR="004B5AF4" w:rsidRPr="004B5AF4" w:rsidTr="004B5AF4">
        <w:trPr>
          <w:trHeight w:val="334"/>
        </w:trPr>
        <w:tc>
          <w:tcPr>
            <w:tcW w:w="1189" w:type="dxa"/>
            <w:tcBorders>
              <w:top w:val="single" w:sz="8" w:space="0" w:color="000000"/>
              <w:left w:val="single" w:sz="4" w:space="0" w:color="auto"/>
              <w:bottom w:val="single" w:sz="4" w:space="0" w:color="auto"/>
              <w:right w:val="single" w:sz="8" w:space="0" w:color="000000"/>
            </w:tcBorders>
            <w:shd w:val="clear" w:color="auto" w:fill="auto"/>
            <w:vAlign w:val="bottom"/>
            <w:hideMark/>
          </w:tcPr>
          <w:p w:rsidR="004B5AF4" w:rsidRPr="004B5AF4" w:rsidRDefault="0094628C" w:rsidP="004B5AF4">
            <w:pPr>
              <w:jc w:val="center"/>
              <w:rPr>
                <w:rFonts w:ascii="Verdana" w:eastAsia="Times New Roman" w:hAnsi="Verdana"/>
                <w:color w:val="000000"/>
                <w:sz w:val="16"/>
                <w:szCs w:val="16"/>
                <w:lang w:val="es-AR" w:eastAsia="es-AR"/>
              </w:rPr>
            </w:pPr>
            <w:hyperlink r:id="rId10" w:anchor="q4" w:tgtFrame="_self" w:history="1">
              <w:r w:rsidR="004B5AF4" w:rsidRPr="004B5AF4">
                <w:rPr>
                  <w:rFonts w:ascii="Verdana" w:eastAsia="Times New Roman" w:hAnsi="Verdana"/>
                  <w:color w:val="000000"/>
                  <w:sz w:val="16"/>
                  <w:lang w:eastAsia="es-AR"/>
                </w:rPr>
                <w:t>Total aporte</w:t>
              </w:r>
            </w:hyperlink>
          </w:p>
        </w:tc>
        <w:tc>
          <w:tcPr>
            <w:tcW w:w="1356" w:type="dxa"/>
            <w:tcBorders>
              <w:top w:val="nil"/>
              <w:left w:val="nil"/>
              <w:bottom w:val="single" w:sz="4" w:space="0" w:color="auto"/>
              <w:right w:val="single" w:sz="8" w:space="0" w:color="000000"/>
            </w:tcBorders>
            <w:shd w:val="clear" w:color="auto" w:fill="auto"/>
            <w:vAlign w:val="bottom"/>
            <w:hideMark/>
          </w:tcPr>
          <w:p w:rsidR="004B5AF4" w:rsidRPr="004B5AF4" w:rsidRDefault="004B5AF4" w:rsidP="004B5AF4">
            <w:pPr>
              <w:jc w:val="center"/>
              <w:rPr>
                <w:rFonts w:eastAsia="Times New Roman"/>
                <w:color w:val="000000"/>
                <w:sz w:val="16"/>
                <w:szCs w:val="16"/>
                <w:lang w:val="es-AR" w:eastAsia="es-AR"/>
              </w:rPr>
            </w:pPr>
            <w:r w:rsidRPr="004B5AF4">
              <w:rPr>
                <w:rFonts w:eastAsia="Times New Roman"/>
                <w:color w:val="000000"/>
                <w:sz w:val="16"/>
                <w:szCs w:val="16"/>
                <w:lang w:eastAsia="es-AR"/>
              </w:rPr>
              <w:t> </w:t>
            </w:r>
          </w:p>
        </w:tc>
        <w:tc>
          <w:tcPr>
            <w:tcW w:w="1182" w:type="dxa"/>
            <w:tcBorders>
              <w:top w:val="nil"/>
              <w:left w:val="nil"/>
              <w:bottom w:val="single" w:sz="4" w:space="0" w:color="auto"/>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b/>
                <w:bCs/>
                <w:color w:val="000000"/>
                <w:sz w:val="16"/>
                <w:szCs w:val="16"/>
                <w:lang w:val="es-AR" w:eastAsia="es-AR"/>
              </w:rPr>
            </w:pPr>
            <w:r w:rsidRPr="004B5AF4">
              <w:rPr>
                <w:rFonts w:ascii="Verdana" w:eastAsia="Times New Roman" w:hAnsi="Verdana"/>
                <w:b/>
                <w:bCs/>
                <w:color w:val="000000"/>
                <w:sz w:val="16"/>
                <w:szCs w:val="16"/>
                <w:lang w:eastAsia="es-AR"/>
              </w:rPr>
              <w:t>3.419,20</w:t>
            </w:r>
          </w:p>
        </w:tc>
        <w:tc>
          <w:tcPr>
            <w:tcW w:w="1182" w:type="dxa"/>
            <w:tcBorders>
              <w:top w:val="nil"/>
              <w:left w:val="nil"/>
              <w:bottom w:val="single" w:sz="4" w:space="0" w:color="auto"/>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b/>
                <w:bCs/>
                <w:color w:val="000000"/>
                <w:sz w:val="16"/>
                <w:szCs w:val="16"/>
                <w:lang w:val="es-AR" w:eastAsia="es-AR"/>
              </w:rPr>
            </w:pPr>
            <w:r w:rsidRPr="004B5AF4">
              <w:rPr>
                <w:rFonts w:ascii="Verdana" w:eastAsia="Times New Roman" w:hAnsi="Verdana"/>
                <w:b/>
                <w:bCs/>
                <w:color w:val="000000"/>
                <w:sz w:val="16"/>
                <w:szCs w:val="16"/>
                <w:lang w:eastAsia="es-AR"/>
              </w:rPr>
              <w:t>4.786,86</w:t>
            </w:r>
          </w:p>
        </w:tc>
        <w:tc>
          <w:tcPr>
            <w:tcW w:w="1182" w:type="dxa"/>
            <w:tcBorders>
              <w:top w:val="nil"/>
              <w:left w:val="nil"/>
              <w:bottom w:val="single" w:sz="4" w:space="0" w:color="auto"/>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b/>
                <w:bCs/>
                <w:color w:val="000000"/>
                <w:sz w:val="16"/>
                <w:szCs w:val="16"/>
                <w:lang w:val="es-AR" w:eastAsia="es-AR"/>
              </w:rPr>
            </w:pPr>
            <w:r w:rsidRPr="004B5AF4">
              <w:rPr>
                <w:rFonts w:ascii="Verdana" w:eastAsia="Times New Roman" w:hAnsi="Verdana"/>
                <w:b/>
                <w:bCs/>
                <w:color w:val="000000"/>
                <w:sz w:val="16"/>
                <w:szCs w:val="16"/>
                <w:lang w:eastAsia="es-AR"/>
              </w:rPr>
              <w:t>6.838,38</w:t>
            </w:r>
          </w:p>
        </w:tc>
        <w:tc>
          <w:tcPr>
            <w:tcW w:w="1283" w:type="dxa"/>
            <w:tcBorders>
              <w:top w:val="nil"/>
              <w:left w:val="nil"/>
              <w:bottom w:val="single" w:sz="4" w:space="0" w:color="auto"/>
              <w:right w:val="single" w:sz="8" w:space="0" w:color="000000"/>
            </w:tcBorders>
            <w:shd w:val="clear" w:color="auto" w:fill="auto"/>
            <w:vAlign w:val="bottom"/>
            <w:hideMark/>
          </w:tcPr>
          <w:p w:rsidR="004B5AF4" w:rsidRPr="004B5AF4" w:rsidRDefault="004B5AF4" w:rsidP="004B5AF4">
            <w:pPr>
              <w:jc w:val="center"/>
              <w:rPr>
                <w:rFonts w:ascii="Verdana" w:eastAsia="Times New Roman" w:hAnsi="Verdana"/>
                <w:b/>
                <w:bCs/>
                <w:color w:val="000000"/>
                <w:sz w:val="16"/>
                <w:szCs w:val="16"/>
                <w:lang w:val="es-AR" w:eastAsia="es-AR"/>
              </w:rPr>
            </w:pPr>
            <w:r w:rsidRPr="004B5AF4">
              <w:rPr>
                <w:rFonts w:ascii="Verdana" w:eastAsia="Times New Roman" w:hAnsi="Verdana"/>
                <w:b/>
                <w:bCs/>
                <w:color w:val="000000"/>
                <w:sz w:val="16"/>
                <w:szCs w:val="16"/>
                <w:lang w:eastAsia="es-AR"/>
              </w:rPr>
              <w:t>10.941,42</w:t>
            </w:r>
          </w:p>
        </w:tc>
        <w:tc>
          <w:tcPr>
            <w:tcW w:w="1283" w:type="dxa"/>
            <w:tcBorders>
              <w:top w:val="nil"/>
              <w:left w:val="nil"/>
              <w:bottom w:val="single" w:sz="4" w:space="0" w:color="auto"/>
              <w:right w:val="single" w:sz="4" w:space="0" w:color="auto"/>
            </w:tcBorders>
            <w:shd w:val="clear" w:color="auto" w:fill="auto"/>
            <w:vAlign w:val="bottom"/>
            <w:hideMark/>
          </w:tcPr>
          <w:p w:rsidR="004B5AF4" w:rsidRPr="004B5AF4" w:rsidRDefault="004B5AF4" w:rsidP="004B5AF4">
            <w:pPr>
              <w:jc w:val="center"/>
              <w:rPr>
                <w:rFonts w:ascii="Verdana" w:eastAsia="Times New Roman" w:hAnsi="Verdana"/>
                <w:b/>
                <w:bCs/>
                <w:color w:val="000000"/>
                <w:sz w:val="16"/>
                <w:szCs w:val="16"/>
                <w:lang w:val="es-AR" w:eastAsia="es-AR"/>
              </w:rPr>
            </w:pPr>
            <w:r w:rsidRPr="004B5AF4">
              <w:rPr>
                <w:rFonts w:ascii="Verdana" w:eastAsia="Times New Roman" w:hAnsi="Verdana"/>
                <w:b/>
                <w:bCs/>
                <w:color w:val="000000"/>
                <w:sz w:val="16"/>
                <w:szCs w:val="16"/>
                <w:lang w:eastAsia="es-AR"/>
              </w:rPr>
              <w:t>15.044,42</w:t>
            </w:r>
          </w:p>
        </w:tc>
      </w:tr>
    </w:tbl>
    <w:p w:rsidR="00E45BEF" w:rsidRDefault="00E45BEF" w:rsidP="00E45BEF">
      <w:pPr>
        <w:pStyle w:val="NormalWeb"/>
        <w:spacing w:before="0" w:beforeAutospacing="0" w:after="0" w:afterAutospacing="0" w:line="360" w:lineRule="auto"/>
        <w:jc w:val="both"/>
        <w:rPr>
          <w:iCs/>
          <w:color w:val="1C1C1C"/>
        </w:rPr>
      </w:pPr>
    </w:p>
    <w:p w:rsidR="00E45BEF" w:rsidRDefault="00E45BEF" w:rsidP="00E45BEF">
      <w:pPr>
        <w:pStyle w:val="NormalWeb"/>
        <w:spacing w:before="0" w:beforeAutospacing="0" w:after="0" w:afterAutospacing="0"/>
        <w:jc w:val="both"/>
        <w:rPr>
          <w:rFonts w:ascii="Arial" w:hAnsi="Arial" w:cs="Arial"/>
          <w:b/>
          <w:bCs/>
          <w:caps/>
          <w:color w:val="7E4F6F"/>
          <w:sz w:val="21"/>
          <w:szCs w:val="21"/>
        </w:rPr>
      </w:pPr>
      <w:r w:rsidRPr="00E45BEF">
        <w:rPr>
          <w:rFonts w:ascii="Arial" w:hAnsi="Arial" w:cs="Arial"/>
          <w:b/>
          <w:bCs/>
          <w:caps/>
          <w:color w:val="7E4F6F"/>
          <w:sz w:val="21"/>
          <w:szCs w:val="21"/>
        </w:rPr>
        <w:t>Impuesto a las Ganancias. Régimen de retención sobre rentas de trabajadores en relación de dependencia y otros. Se incorpora como deducción la percepción por compra de moneda extranjera</w:t>
      </w:r>
      <w:r>
        <w:rPr>
          <w:rFonts w:ascii="Arial" w:hAnsi="Arial" w:cs="Arial"/>
          <w:b/>
          <w:bCs/>
          <w:caps/>
          <w:color w:val="7E4F6F"/>
          <w:sz w:val="21"/>
          <w:szCs w:val="21"/>
        </w:rPr>
        <w:t xml:space="preserve"> - </w:t>
      </w:r>
      <w:r w:rsidRPr="00E45BEF">
        <w:rPr>
          <w:rFonts w:ascii="Arial" w:hAnsi="Arial" w:cs="Arial"/>
          <w:b/>
          <w:bCs/>
          <w:caps/>
          <w:color w:val="7E4F6F"/>
          <w:sz w:val="21"/>
          <w:szCs w:val="21"/>
        </w:rPr>
        <w:t>RESOLUCIÓN GENERAL (Adm. Fed. Ingresos Públicos) 4885</w:t>
      </w:r>
    </w:p>
    <w:p w:rsidR="00E45BEF" w:rsidRDefault="00E45BEF" w:rsidP="00E45BEF">
      <w:pPr>
        <w:pStyle w:val="NormalWeb"/>
        <w:spacing w:before="0" w:beforeAutospacing="0" w:after="0" w:afterAutospacing="0"/>
        <w:jc w:val="both"/>
        <w:rPr>
          <w:rFonts w:ascii="Arial" w:hAnsi="Arial" w:cs="Arial"/>
          <w:b/>
          <w:bCs/>
          <w:caps/>
          <w:color w:val="7E4F6F"/>
          <w:sz w:val="21"/>
          <w:szCs w:val="21"/>
        </w:rPr>
      </w:pPr>
    </w:p>
    <w:p w:rsidR="00E45BEF" w:rsidRDefault="00E45BEF" w:rsidP="00E45BEF">
      <w:pPr>
        <w:pStyle w:val="NormalWeb"/>
        <w:spacing w:before="0" w:beforeAutospacing="0" w:after="0" w:afterAutospacing="0" w:line="360" w:lineRule="auto"/>
        <w:jc w:val="both"/>
        <w:rPr>
          <w:iCs/>
          <w:color w:val="1C1C1C"/>
        </w:rPr>
      </w:pPr>
      <w:r w:rsidRPr="00E45BEF">
        <w:rPr>
          <w:iCs/>
          <w:color w:val="1C1C1C"/>
        </w:rPr>
        <w:t xml:space="preserve">Se incorpora como deducción a computar por los trabajadores en relación de dependencia y otras rentas, el importe percibido por la compra de moneda extranjera para atesoramiento o compras con tarjetas de crédito y/o débito en igual moneda. </w:t>
      </w:r>
    </w:p>
    <w:p w:rsidR="00E45BEF" w:rsidRDefault="00E45BEF" w:rsidP="00E45BEF">
      <w:pPr>
        <w:pStyle w:val="NormalWeb"/>
        <w:spacing w:before="0" w:beforeAutospacing="0" w:after="0" w:afterAutospacing="0" w:line="360" w:lineRule="auto"/>
        <w:jc w:val="both"/>
        <w:rPr>
          <w:iCs/>
          <w:color w:val="1C1C1C"/>
        </w:rPr>
      </w:pPr>
      <w:r w:rsidRPr="00E45BEF">
        <w:rPr>
          <w:iCs/>
          <w:color w:val="1C1C1C"/>
        </w:rPr>
        <w:t>Asimismo, se aclara que el sujeto pasible de las percepciones mencionadas podrá ingresar con clave fiscal al servicio “Mis retenciones” para consultar la información sobre las percepciones que le fueron practicadas</w:t>
      </w:r>
      <w:r>
        <w:rPr>
          <w:iCs/>
          <w:color w:val="1C1C1C"/>
        </w:rPr>
        <w:t>.</w:t>
      </w:r>
    </w:p>
    <w:p w:rsidR="00E45BEF" w:rsidRPr="00E16F9C" w:rsidRDefault="00E45BEF" w:rsidP="00E16F9C">
      <w:pPr>
        <w:pStyle w:val="NormalWeb"/>
        <w:spacing w:before="0" w:beforeAutospacing="0" w:after="0" w:afterAutospacing="0"/>
        <w:jc w:val="center"/>
        <w:rPr>
          <w:rFonts w:ascii="Arial" w:hAnsi="Arial" w:cs="Arial"/>
          <w:b/>
          <w:bCs/>
          <w:caps/>
          <w:color w:val="7E4F6F"/>
          <w:sz w:val="28"/>
          <w:szCs w:val="28"/>
        </w:rPr>
      </w:pPr>
    </w:p>
    <w:p w:rsidR="00E45BEF" w:rsidRDefault="00E45BEF" w:rsidP="00E45BEF">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Vencimiento para presentar el formulario 572 web año 2020</w:t>
      </w:r>
    </w:p>
    <w:p w:rsidR="00E45BEF" w:rsidRDefault="00E45BEF" w:rsidP="00E45BEF">
      <w:pPr>
        <w:pStyle w:val="NormalWeb"/>
        <w:spacing w:before="0" w:beforeAutospacing="0" w:after="0" w:afterAutospacing="0"/>
        <w:jc w:val="both"/>
        <w:rPr>
          <w:rFonts w:ascii="Arial" w:hAnsi="Arial" w:cs="Arial"/>
          <w:b/>
          <w:bCs/>
          <w:caps/>
          <w:color w:val="7E4F6F"/>
          <w:sz w:val="21"/>
          <w:szCs w:val="21"/>
        </w:rPr>
      </w:pPr>
    </w:p>
    <w:p w:rsidR="00E45BEF" w:rsidRDefault="00E45BEF" w:rsidP="00E45BEF">
      <w:pPr>
        <w:pStyle w:val="NormalWeb"/>
        <w:spacing w:before="0" w:beforeAutospacing="0" w:after="0" w:afterAutospacing="0" w:line="360" w:lineRule="auto"/>
        <w:jc w:val="both"/>
        <w:rPr>
          <w:iCs/>
          <w:color w:val="1C1C1C"/>
        </w:rPr>
      </w:pPr>
      <w:r>
        <w:rPr>
          <w:rFonts w:ascii="Arial" w:hAnsi="Arial" w:cs="Arial"/>
          <w:color w:val="666666"/>
          <w:sz w:val="20"/>
          <w:szCs w:val="20"/>
        </w:rPr>
        <w:t>L</w:t>
      </w:r>
      <w:r w:rsidRPr="00E45BEF">
        <w:rPr>
          <w:iCs/>
          <w:color w:val="1C1C1C"/>
        </w:rPr>
        <w:t>a AFIP rectificó en el servicio web “</w:t>
      </w:r>
      <w:proofErr w:type="spellStart"/>
      <w:r w:rsidRPr="00E45BEF">
        <w:rPr>
          <w:iCs/>
          <w:color w:val="1C1C1C"/>
        </w:rPr>
        <w:t>Siradig</w:t>
      </w:r>
      <w:proofErr w:type="spellEnd"/>
      <w:r w:rsidRPr="00E45BEF">
        <w:rPr>
          <w:iCs/>
          <w:color w:val="1C1C1C"/>
        </w:rPr>
        <w:t xml:space="preserve">-Trabajador” la fecha límite para ingresar en el F. 572 web aquellos datos que deben ser tenidos en cuenta por el empleador para la confección de la liquidación anual del impuesto a las ganancias, figurando ahora el 31 de marzo del año próximo, de acuerdo a lo previsto en la </w:t>
      </w:r>
      <w:hyperlink r:id="rId11" w:history="1">
        <w:r w:rsidRPr="00E45BEF">
          <w:rPr>
            <w:iCs/>
            <w:color w:val="1C1C1C"/>
          </w:rPr>
          <w:t>RG (AFIP) 4003</w:t>
        </w:r>
      </w:hyperlink>
      <w:r w:rsidRPr="00E45BEF">
        <w:rPr>
          <w:iCs/>
          <w:color w:val="1C1C1C"/>
        </w:rPr>
        <w:t>.</w:t>
      </w:r>
    </w:p>
    <w:p w:rsidR="00E45BEF" w:rsidRDefault="00E45BEF" w:rsidP="00E45BEF">
      <w:pPr>
        <w:pStyle w:val="NormalWeb"/>
        <w:spacing w:before="0" w:beforeAutospacing="0" w:after="0" w:afterAutospacing="0" w:line="360" w:lineRule="auto"/>
        <w:jc w:val="both"/>
        <w:rPr>
          <w:iCs/>
          <w:color w:val="1C1C1C"/>
        </w:rPr>
      </w:pPr>
    </w:p>
    <w:p w:rsidR="00E45BEF" w:rsidRPr="00E45BEF" w:rsidRDefault="00E45BEF" w:rsidP="00E45BEF">
      <w:pPr>
        <w:pStyle w:val="NormalWeb"/>
        <w:spacing w:before="0" w:beforeAutospacing="0" w:after="0" w:afterAutospacing="0"/>
        <w:jc w:val="both"/>
        <w:rPr>
          <w:iCs/>
          <w:color w:val="1C1C1C"/>
        </w:rPr>
      </w:pPr>
      <w:r>
        <w:rPr>
          <w:rFonts w:ascii="Arial" w:hAnsi="Arial" w:cs="Arial"/>
          <w:b/>
          <w:bCs/>
          <w:caps/>
          <w:color w:val="7E4F6F"/>
          <w:sz w:val="21"/>
          <w:szCs w:val="21"/>
        </w:rPr>
        <w:lastRenderedPageBreak/>
        <w:t xml:space="preserve">Informe de Programas de Fomento de Empleo. Programa REPRO II. Aclaraciones para la liquidación de haberes - </w:t>
      </w:r>
      <w:r w:rsidRPr="00E45BEF">
        <w:rPr>
          <w:rFonts w:ascii="Arial" w:hAnsi="Arial" w:cs="Arial"/>
          <w:b/>
          <w:bCs/>
          <w:caps/>
          <w:color w:val="7E4F6F"/>
          <w:sz w:val="21"/>
          <w:szCs w:val="21"/>
        </w:rPr>
        <w:t>RESOLUCIÓN (Min. Trabajo, Empleo y Seguridad Social) 1098/2020</w:t>
      </w:r>
    </w:p>
    <w:p w:rsidR="00EF2012" w:rsidRDefault="00EF2012" w:rsidP="00EF2012">
      <w:pPr>
        <w:jc w:val="center"/>
        <w:rPr>
          <w:rFonts w:ascii="Arial" w:eastAsia="Times New Roman" w:hAnsi="Arial" w:cs="Arial"/>
          <w:color w:val="666666"/>
          <w:sz w:val="17"/>
          <w:szCs w:val="17"/>
        </w:rPr>
      </w:pPr>
    </w:p>
    <w:p w:rsidR="00F153C0" w:rsidRPr="00E45BEF" w:rsidRDefault="00E45BEF" w:rsidP="00E45BEF">
      <w:pPr>
        <w:pStyle w:val="NormalWeb"/>
        <w:shd w:val="clear" w:color="auto" w:fill="FDE9D9" w:themeFill="accent6" w:themeFillTint="33"/>
        <w:spacing w:before="0" w:beforeAutospacing="0" w:after="0" w:afterAutospacing="0" w:line="360" w:lineRule="auto"/>
        <w:jc w:val="both"/>
        <w:rPr>
          <w:iCs/>
          <w:color w:val="1C1C1C"/>
        </w:rPr>
      </w:pPr>
      <w:r w:rsidRPr="00E45BEF">
        <w:rPr>
          <w:iCs/>
          <w:color w:val="1C1C1C"/>
        </w:rPr>
        <w:t>Los empleadores y empleadoras que hubiesen efectuado el pago total o parcial de haberes en forma previa a la percepción por parte de sus trabajadores y trabajadoras dependientes del beneficio del “Programa REPRO II”, y cuyo monto, sumado el pago de dicho beneficio correspondiente al mismo mes de devengamiento, supere la suma que le hubiere correspondido percibir a cada trabajador por parte de su empleador, podrán imputar el excedente a cuenta del pago del salario correspondiente al mes siguiente</w:t>
      </w:r>
    </w:p>
    <w:p w:rsidR="00E45BEF" w:rsidRDefault="00E45BEF" w:rsidP="00E45BEF">
      <w:pPr>
        <w:pStyle w:val="NormalWeb"/>
        <w:shd w:val="clear" w:color="auto" w:fill="FDE9D9" w:themeFill="accent6" w:themeFillTint="33"/>
        <w:spacing w:before="0" w:beforeAutospacing="0" w:after="0" w:afterAutospacing="0" w:line="360" w:lineRule="auto"/>
        <w:rPr>
          <w:rFonts w:ascii="Arial" w:eastAsia="Times New Roman" w:hAnsi="Arial" w:cs="Arial"/>
          <w:color w:val="666666"/>
          <w:sz w:val="20"/>
          <w:szCs w:val="20"/>
        </w:rPr>
      </w:pPr>
    </w:p>
    <w:p w:rsidR="003A4F45" w:rsidRPr="003A4F45" w:rsidRDefault="003A4F45" w:rsidP="003A4F45">
      <w:pPr>
        <w:pStyle w:val="NormalWeb"/>
        <w:shd w:val="clear" w:color="auto" w:fill="FDE9D9" w:themeFill="accent6" w:themeFillTint="33"/>
        <w:spacing w:before="0" w:beforeAutospacing="0" w:after="0" w:afterAutospacing="0" w:line="360" w:lineRule="auto"/>
        <w:jc w:val="center"/>
        <w:rPr>
          <w:sz w:val="28"/>
          <w:szCs w:val="28"/>
        </w:rPr>
      </w:pPr>
      <w:r w:rsidRPr="003A4F45">
        <w:rPr>
          <w:rFonts w:ascii="Arial" w:hAnsi="Arial" w:cs="Arial"/>
          <w:b/>
          <w:bCs/>
          <w:caps/>
          <w:color w:val="7F870A"/>
          <w:sz w:val="28"/>
          <w:szCs w:val="28"/>
        </w:rPr>
        <w:t>SOCIETARIAS</w:t>
      </w:r>
    </w:p>
    <w:p w:rsidR="00551FD0" w:rsidRDefault="00551FD0" w:rsidP="00551FD0">
      <w:pPr>
        <w:pStyle w:val="NormalWeb"/>
        <w:spacing w:before="0" w:beforeAutospacing="0" w:after="0" w:afterAutospacing="0"/>
        <w:jc w:val="both"/>
        <w:rPr>
          <w:rFonts w:ascii="Arial" w:hAnsi="Arial" w:cs="Arial"/>
          <w:b/>
          <w:bCs/>
          <w:caps/>
          <w:color w:val="7F870A"/>
          <w:sz w:val="21"/>
          <w:szCs w:val="21"/>
        </w:rPr>
      </w:pPr>
      <w:r>
        <w:rPr>
          <w:rFonts w:ascii="Arial" w:hAnsi="Arial" w:cs="Arial"/>
          <w:b/>
          <w:bCs/>
          <w:caps/>
          <w:color w:val="7F870A"/>
          <w:sz w:val="21"/>
          <w:szCs w:val="21"/>
        </w:rPr>
        <w:t>Prórroga a los bancos para recibir y depositar billetes de $5</w:t>
      </w:r>
    </w:p>
    <w:p w:rsidR="00551FD0" w:rsidRDefault="00551FD0" w:rsidP="00551FD0">
      <w:pPr>
        <w:pStyle w:val="NormalWeb"/>
        <w:spacing w:before="0" w:beforeAutospacing="0" w:after="0" w:afterAutospacing="0"/>
        <w:jc w:val="both"/>
        <w:rPr>
          <w:rFonts w:ascii="Arial" w:hAnsi="Arial" w:cs="Arial"/>
          <w:b/>
          <w:bCs/>
          <w:caps/>
          <w:color w:val="7F870A"/>
          <w:sz w:val="21"/>
          <w:szCs w:val="21"/>
        </w:rPr>
      </w:pPr>
    </w:p>
    <w:p w:rsidR="00551FD0" w:rsidRDefault="00551FD0" w:rsidP="00551FD0">
      <w:pPr>
        <w:pStyle w:val="NormalWeb"/>
        <w:spacing w:before="0" w:beforeAutospacing="0" w:after="0" w:afterAutospacing="0" w:line="360" w:lineRule="auto"/>
        <w:jc w:val="both"/>
        <w:rPr>
          <w:iCs/>
          <w:color w:val="1C1C1C"/>
        </w:rPr>
      </w:pPr>
      <w:r w:rsidRPr="00551FD0">
        <w:rPr>
          <w:iCs/>
          <w:color w:val="1C1C1C"/>
        </w:rPr>
        <w:t>El Organismo monetario, a través de la Comunicación A 7185, establece que los bancos deberán recibir hasta el 31 de agosto de 2021 los ejemplares de $5 presentados por el público y deberán depositarlos como deteriorados en sede del Banco Central hasta el 31 de diciembre de 2021.</w:t>
      </w:r>
    </w:p>
    <w:p w:rsidR="00F153C0" w:rsidRDefault="00551FD0" w:rsidP="00551FD0">
      <w:pPr>
        <w:pStyle w:val="NormalWeb"/>
        <w:spacing w:before="0" w:beforeAutospacing="0" w:after="0" w:afterAutospacing="0" w:line="360" w:lineRule="auto"/>
        <w:jc w:val="both"/>
        <w:rPr>
          <w:iCs/>
          <w:color w:val="1C1C1C"/>
        </w:rPr>
      </w:pPr>
      <w:r w:rsidRPr="00551FD0">
        <w:rPr>
          <w:iCs/>
          <w:color w:val="1C1C1C"/>
        </w:rPr>
        <w:t xml:space="preserve">Asimismo, dispone que a partir del 1 de enero de 2022 los billetes de $ 5 </w:t>
      </w:r>
      <w:proofErr w:type="gramStart"/>
      <w:r w:rsidRPr="00551FD0">
        <w:rPr>
          <w:iCs/>
          <w:color w:val="1C1C1C"/>
        </w:rPr>
        <w:t>serán</w:t>
      </w:r>
      <w:proofErr w:type="gramEnd"/>
      <w:r w:rsidRPr="00551FD0">
        <w:rPr>
          <w:iCs/>
          <w:color w:val="1C1C1C"/>
        </w:rPr>
        <w:t xml:space="preserve"> considerados desmonetizados</w:t>
      </w:r>
      <w:r>
        <w:rPr>
          <w:iCs/>
          <w:color w:val="1C1C1C"/>
        </w:rPr>
        <w:t>.</w:t>
      </w:r>
    </w:p>
    <w:p w:rsidR="00551FD0" w:rsidRPr="00551FD0" w:rsidRDefault="00551FD0" w:rsidP="00551FD0">
      <w:pPr>
        <w:pStyle w:val="NormalWeb"/>
        <w:spacing w:before="0" w:beforeAutospacing="0" w:after="0" w:afterAutospacing="0" w:line="360" w:lineRule="auto"/>
        <w:jc w:val="both"/>
        <w:rPr>
          <w:rFonts w:ascii="Arial" w:hAnsi="Arial" w:cs="Arial"/>
          <w:b/>
          <w:bCs/>
          <w:caps/>
          <w:color w:val="7F870A"/>
          <w:sz w:val="21"/>
          <w:szCs w:val="21"/>
        </w:rPr>
      </w:pPr>
    </w:p>
    <w:p w:rsidR="00551FD0" w:rsidRDefault="00551FD0" w:rsidP="00551FD0">
      <w:pPr>
        <w:pStyle w:val="NormalWeb"/>
        <w:spacing w:before="0" w:beforeAutospacing="0" w:after="0" w:afterAutospacing="0"/>
        <w:jc w:val="both"/>
        <w:rPr>
          <w:rFonts w:ascii="Arial" w:hAnsi="Arial" w:cs="Arial"/>
          <w:b/>
          <w:bCs/>
          <w:caps/>
          <w:color w:val="7F870A"/>
          <w:sz w:val="21"/>
          <w:szCs w:val="21"/>
        </w:rPr>
      </w:pPr>
      <w:r w:rsidRPr="00551FD0">
        <w:rPr>
          <w:rFonts w:ascii="Arial" w:hAnsi="Arial" w:cs="Arial"/>
          <w:b/>
          <w:bCs/>
          <w:caps/>
          <w:color w:val="7F870A"/>
          <w:sz w:val="21"/>
          <w:szCs w:val="21"/>
        </w:rPr>
        <w:t>SISTEMA DE ÍNDICES DE PRECIOS MAYORISTAS (SIPM). ÍNDICE DEL COSTO DE LA CONSTRUCCIÓN (ICC). ÍNDICE DE PRECIOS AL CONSUMIDOR (IPC). NOVIEMBRE 2020</w:t>
      </w:r>
    </w:p>
    <w:p w:rsidR="00551FD0" w:rsidRPr="00551FD0" w:rsidRDefault="00551FD0" w:rsidP="00551FD0">
      <w:pPr>
        <w:pStyle w:val="NormalWeb"/>
        <w:spacing w:before="0" w:beforeAutospacing="0" w:after="0" w:afterAutospacing="0"/>
        <w:jc w:val="both"/>
        <w:rPr>
          <w:rFonts w:ascii="Arial" w:hAnsi="Arial" w:cs="Arial"/>
          <w:b/>
          <w:bCs/>
          <w:caps/>
          <w:color w:val="7F870A"/>
          <w:sz w:val="21"/>
          <w:szCs w:val="21"/>
        </w:rPr>
      </w:pPr>
    </w:p>
    <w:p w:rsidR="00551FD0" w:rsidRPr="00551FD0" w:rsidRDefault="00551FD0" w:rsidP="00551FD0">
      <w:pPr>
        <w:spacing w:after="240" w:line="360" w:lineRule="auto"/>
        <w:jc w:val="both"/>
        <w:rPr>
          <w:iCs/>
          <w:color w:val="1C1C1C"/>
        </w:rPr>
      </w:pPr>
      <w:r w:rsidRPr="00551FD0">
        <w:rPr>
          <w:iCs/>
          <w:color w:val="1C1C1C"/>
        </w:rPr>
        <w:t xml:space="preserve">El Instituto Nacional de Estadística y Censos (INDEC) ha difundido la variación porcentual de los "Índices de Precios Mayoristas" (SIPM), "Índice del Costo de la Construcción" (ICC) e “Índice de Precios al Consumidor” (IPC) para el mes de noviembre 2020: </w:t>
      </w:r>
    </w:p>
    <w:tbl>
      <w:tblPr>
        <w:tblW w:w="3652"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607"/>
        <w:gridCol w:w="2900"/>
      </w:tblGrid>
      <w:tr w:rsidR="00551FD0" w:rsidRPr="00551FD0" w:rsidTr="00551FD0">
        <w:trPr>
          <w:trHeight w:val="594"/>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FD0" w:rsidRPr="00551FD0" w:rsidRDefault="00551FD0" w:rsidP="00C93C03">
            <w:pPr>
              <w:jc w:val="center"/>
              <w:rPr>
                <w:iCs/>
                <w:color w:val="1C1C1C"/>
              </w:rPr>
            </w:pPr>
            <w:r w:rsidRPr="00551FD0">
              <w:rPr>
                <w:b/>
                <w:bCs/>
                <w:iCs/>
                <w:color w:val="1C1C1C"/>
              </w:rPr>
              <w:t>Nivel general 2020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FD0" w:rsidRPr="00551FD0" w:rsidRDefault="00551FD0" w:rsidP="00C93C03">
            <w:pPr>
              <w:jc w:val="center"/>
              <w:rPr>
                <w:iCs/>
                <w:color w:val="1C1C1C"/>
              </w:rPr>
            </w:pPr>
            <w:r w:rsidRPr="00551FD0">
              <w:rPr>
                <w:b/>
                <w:bCs/>
                <w:iCs/>
                <w:color w:val="1C1C1C"/>
              </w:rPr>
              <w:t>NOVIEMBRE 2020 (*)</w:t>
            </w:r>
          </w:p>
        </w:tc>
      </w:tr>
      <w:tr w:rsidR="00551FD0" w:rsidRPr="00551FD0" w:rsidTr="00551FD0">
        <w:trPr>
          <w:trHeight w:val="143"/>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1FD0" w:rsidRPr="00551FD0" w:rsidRDefault="00551FD0" w:rsidP="00C93C03">
            <w:pPr>
              <w:rPr>
                <w:iCs/>
                <w:color w:val="1C1C1C"/>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FD0" w:rsidRPr="00551FD0" w:rsidRDefault="00551FD0" w:rsidP="00C93C03">
            <w:pPr>
              <w:jc w:val="center"/>
              <w:rPr>
                <w:iCs/>
                <w:color w:val="1C1C1C"/>
              </w:rPr>
            </w:pPr>
            <w:r w:rsidRPr="00551FD0">
              <w:rPr>
                <w:b/>
                <w:bCs/>
                <w:iCs/>
                <w:color w:val="1C1C1C"/>
              </w:rPr>
              <w:t>Variación % respecto al mes anterior</w:t>
            </w:r>
          </w:p>
        </w:tc>
      </w:tr>
      <w:tr w:rsidR="00551FD0" w:rsidRPr="00551FD0" w:rsidTr="00551FD0">
        <w:trPr>
          <w:trHeight w:val="55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FD0" w:rsidRPr="00551FD0" w:rsidRDefault="00551FD0" w:rsidP="00C93C03">
            <w:pPr>
              <w:jc w:val="center"/>
              <w:rPr>
                <w:iCs/>
                <w:color w:val="1C1C1C"/>
              </w:rPr>
            </w:pPr>
            <w:r w:rsidRPr="00551FD0">
              <w:rPr>
                <w:iCs/>
                <w:color w:val="1C1C1C"/>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FD0" w:rsidRPr="00551FD0" w:rsidRDefault="00551FD0" w:rsidP="00C93C03">
            <w:pPr>
              <w:jc w:val="center"/>
              <w:rPr>
                <w:iCs/>
                <w:color w:val="1C1C1C"/>
              </w:rPr>
            </w:pPr>
            <w:r w:rsidRPr="00551FD0">
              <w:rPr>
                <w:iCs/>
                <w:color w:val="1C1C1C"/>
              </w:rPr>
              <w:t>4,2</w:t>
            </w:r>
          </w:p>
        </w:tc>
      </w:tr>
      <w:tr w:rsidR="00551FD0" w:rsidRPr="00551FD0" w:rsidTr="00551FD0">
        <w:trPr>
          <w:trHeight w:val="535"/>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FD0" w:rsidRPr="00551FD0" w:rsidRDefault="00551FD0" w:rsidP="00C93C03">
            <w:pPr>
              <w:jc w:val="center"/>
              <w:rPr>
                <w:iCs/>
                <w:color w:val="1C1C1C"/>
              </w:rPr>
            </w:pPr>
            <w:r w:rsidRPr="00551FD0">
              <w:rPr>
                <w:iCs/>
                <w:color w:val="1C1C1C"/>
              </w:rPr>
              <w:lastRenderedPageBreak/>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FD0" w:rsidRPr="00551FD0" w:rsidRDefault="00551FD0" w:rsidP="00C93C03">
            <w:pPr>
              <w:jc w:val="center"/>
              <w:rPr>
                <w:iCs/>
                <w:color w:val="1C1C1C"/>
              </w:rPr>
            </w:pPr>
            <w:r w:rsidRPr="00551FD0">
              <w:rPr>
                <w:iCs/>
                <w:color w:val="1C1C1C"/>
              </w:rPr>
              <w:t>4,5</w:t>
            </w:r>
          </w:p>
        </w:tc>
      </w:tr>
      <w:tr w:rsidR="00551FD0" w:rsidRPr="00551FD0" w:rsidTr="00551FD0">
        <w:trPr>
          <w:trHeight w:val="55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FD0" w:rsidRPr="00551FD0" w:rsidRDefault="00551FD0" w:rsidP="00C93C03">
            <w:pPr>
              <w:jc w:val="center"/>
              <w:rPr>
                <w:iCs/>
                <w:color w:val="1C1C1C"/>
              </w:rPr>
            </w:pPr>
            <w:r w:rsidRPr="00551FD0">
              <w:rPr>
                <w:iCs/>
                <w:color w:val="1C1C1C"/>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FD0" w:rsidRPr="00551FD0" w:rsidRDefault="00551FD0" w:rsidP="00C93C03">
            <w:pPr>
              <w:jc w:val="center"/>
              <w:rPr>
                <w:iCs/>
                <w:color w:val="1C1C1C"/>
              </w:rPr>
            </w:pPr>
            <w:r w:rsidRPr="00551FD0">
              <w:rPr>
                <w:iCs/>
                <w:color w:val="1C1C1C"/>
              </w:rPr>
              <w:t>4,8</w:t>
            </w:r>
          </w:p>
        </w:tc>
      </w:tr>
      <w:tr w:rsidR="00551FD0" w:rsidRPr="00551FD0" w:rsidTr="00551FD0">
        <w:trPr>
          <w:trHeight w:val="55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FD0" w:rsidRPr="00551FD0" w:rsidRDefault="00551FD0" w:rsidP="00C93C03">
            <w:pPr>
              <w:jc w:val="center"/>
              <w:rPr>
                <w:iCs/>
                <w:color w:val="1C1C1C"/>
              </w:rPr>
            </w:pPr>
            <w:r w:rsidRPr="00551FD0">
              <w:rPr>
                <w:iCs/>
                <w:color w:val="1C1C1C"/>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FD0" w:rsidRPr="00551FD0" w:rsidRDefault="00551FD0" w:rsidP="00C93C03">
            <w:pPr>
              <w:jc w:val="center"/>
              <w:rPr>
                <w:iCs/>
                <w:color w:val="1C1C1C"/>
              </w:rPr>
            </w:pPr>
            <w:r w:rsidRPr="00551FD0">
              <w:rPr>
                <w:iCs/>
                <w:color w:val="1C1C1C"/>
              </w:rPr>
              <w:t>12,4</w:t>
            </w:r>
          </w:p>
        </w:tc>
      </w:tr>
      <w:tr w:rsidR="00551FD0" w:rsidRPr="00551FD0" w:rsidTr="00551FD0">
        <w:trPr>
          <w:trHeight w:val="55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FD0" w:rsidRPr="00551FD0" w:rsidRDefault="00551FD0" w:rsidP="00C93C03">
            <w:pPr>
              <w:jc w:val="center"/>
              <w:rPr>
                <w:iCs/>
                <w:color w:val="1C1C1C"/>
              </w:rPr>
            </w:pPr>
            <w:r w:rsidRPr="00551FD0">
              <w:rPr>
                <w:iCs/>
                <w:color w:val="1C1C1C"/>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51FD0" w:rsidRPr="00551FD0" w:rsidRDefault="00551FD0" w:rsidP="00C93C03">
            <w:pPr>
              <w:jc w:val="center"/>
              <w:rPr>
                <w:iCs/>
                <w:color w:val="1C1C1C"/>
              </w:rPr>
            </w:pPr>
            <w:r w:rsidRPr="00551FD0">
              <w:rPr>
                <w:iCs/>
                <w:color w:val="1C1C1C"/>
              </w:rPr>
              <w:t>3,2</w:t>
            </w:r>
          </w:p>
        </w:tc>
      </w:tr>
    </w:tbl>
    <w:p w:rsidR="00551FD0" w:rsidRPr="00551FD0" w:rsidRDefault="00551FD0" w:rsidP="00551FD0">
      <w:pPr>
        <w:rPr>
          <w:iCs/>
          <w:color w:val="1C1C1C"/>
        </w:rPr>
      </w:pPr>
      <w:r w:rsidRPr="00551FD0">
        <w:rPr>
          <w:iCs/>
          <w:color w:val="1C1C1C"/>
        </w:rPr>
        <w:br/>
        <w:t>(*) Dato provisorio</w:t>
      </w:r>
    </w:p>
    <w:p w:rsidR="00551FD0" w:rsidRDefault="00551FD0" w:rsidP="00551FD0">
      <w:pPr>
        <w:pStyle w:val="NormalWeb"/>
        <w:spacing w:before="0" w:beforeAutospacing="0" w:after="0" w:afterAutospacing="0" w:line="360" w:lineRule="auto"/>
        <w:jc w:val="both"/>
        <w:rPr>
          <w:iCs/>
          <w:color w:val="1C1C1C"/>
        </w:rPr>
      </w:pPr>
    </w:p>
    <w:p w:rsidR="00A222F8" w:rsidRDefault="00A222F8" w:rsidP="00551FD0">
      <w:pPr>
        <w:pStyle w:val="NormalWeb"/>
        <w:spacing w:before="0" w:beforeAutospacing="0" w:after="0" w:afterAutospacing="0" w:line="360" w:lineRule="auto"/>
        <w:jc w:val="both"/>
        <w:rPr>
          <w:iCs/>
          <w:color w:val="1C1C1C"/>
        </w:rPr>
      </w:pPr>
    </w:p>
    <w:p w:rsidR="00A222F8" w:rsidRPr="00A222F8" w:rsidRDefault="00A222F8" w:rsidP="00551FD0">
      <w:pPr>
        <w:pStyle w:val="NormalWeb"/>
        <w:spacing w:before="0" w:beforeAutospacing="0" w:after="0" w:afterAutospacing="0" w:line="360" w:lineRule="auto"/>
        <w:jc w:val="both"/>
        <w:rPr>
          <w:b/>
          <w:iCs/>
          <w:color w:val="FF0000"/>
          <w:sz w:val="36"/>
          <w:szCs w:val="36"/>
        </w:rPr>
      </w:pPr>
      <w:r w:rsidRPr="00A222F8">
        <w:rPr>
          <w:b/>
          <w:iCs/>
          <w:color w:val="FF0000"/>
          <w:sz w:val="36"/>
          <w:szCs w:val="36"/>
        </w:rPr>
        <w:t xml:space="preserve">LES DESEAMOS QUE </w:t>
      </w:r>
      <w:r>
        <w:rPr>
          <w:b/>
          <w:iCs/>
          <w:color w:val="FF0000"/>
          <w:sz w:val="36"/>
          <w:szCs w:val="36"/>
        </w:rPr>
        <w:t>TENGAN</w:t>
      </w:r>
      <w:r w:rsidRPr="00A222F8">
        <w:rPr>
          <w:b/>
          <w:iCs/>
          <w:color w:val="FF0000"/>
          <w:sz w:val="36"/>
          <w:szCs w:val="36"/>
        </w:rPr>
        <w:t xml:space="preserve"> UNA FELICES FIESTAS</w:t>
      </w:r>
      <w:r>
        <w:rPr>
          <w:b/>
          <w:iCs/>
          <w:color w:val="FF0000"/>
          <w:sz w:val="36"/>
          <w:szCs w:val="36"/>
        </w:rPr>
        <w:t>,</w:t>
      </w:r>
      <w:r w:rsidRPr="00A222F8">
        <w:rPr>
          <w:b/>
          <w:iCs/>
          <w:color w:val="FF0000"/>
          <w:sz w:val="36"/>
          <w:szCs w:val="36"/>
        </w:rPr>
        <w:t xml:space="preserve"> QUE EL PROXIMO AÑO SEA PROSPERO Y </w:t>
      </w:r>
      <w:r>
        <w:rPr>
          <w:b/>
          <w:iCs/>
          <w:color w:val="FF0000"/>
          <w:sz w:val="36"/>
          <w:szCs w:val="36"/>
        </w:rPr>
        <w:t>GOCEN DE</w:t>
      </w:r>
      <w:r w:rsidRPr="00A222F8">
        <w:rPr>
          <w:b/>
          <w:iCs/>
          <w:color w:val="FF0000"/>
          <w:sz w:val="36"/>
          <w:szCs w:val="36"/>
        </w:rPr>
        <w:t xml:space="preserve"> BUENA SALUD!!!!!!!!!!</w:t>
      </w:r>
    </w:p>
    <w:sectPr w:rsidR="00A222F8" w:rsidRPr="00A222F8" w:rsidSect="002A1585">
      <w:headerReference w:type="default" r:id="rId12"/>
      <w:footerReference w:type="default" r:id="rId13"/>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BEF" w:rsidRDefault="00E45BEF" w:rsidP="00A22916">
      <w:r>
        <w:separator/>
      </w:r>
    </w:p>
  </w:endnote>
  <w:endnote w:type="continuationSeparator" w:id="0">
    <w:p w:rsidR="00E45BEF" w:rsidRDefault="00E45BEF"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BEF" w:rsidRDefault="00E45BEF"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A222F8" w:rsidRPr="00A222F8">
        <w:rPr>
          <w:rFonts w:asciiTheme="majorHAnsi" w:hAnsiTheme="majorHAnsi"/>
          <w:noProof/>
        </w:rPr>
        <w:t>8</w:t>
      </w:r>
    </w:fldSimple>
  </w:p>
  <w:p w:rsidR="00E45BEF" w:rsidRDefault="00E45BEF" w:rsidP="0063669F">
    <w:pPr>
      <w:pStyle w:val="Piedepgina"/>
    </w:pPr>
  </w:p>
  <w:p w:rsidR="00E45BEF" w:rsidRDefault="00E45BEF" w:rsidP="0063669F">
    <w:pPr>
      <w:pStyle w:val="Piedepgina"/>
    </w:pPr>
  </w:p>
  <w:p w:rsidR="00E45BEF" w:rsidRDefault="00E45BEF"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BEF" w:rsidRDefault="00E45BEF" w:rsidP="00A22916">
      <w:r>
        <w:separator/>
      </w:r>
    </w:p>
  </w:footnote>
  <w:footnote w:type="continuationSeparator" w:id="0">
    <w:p w:rsidR="00E45BEF" w:rsidRDefault="00E45BEF"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BEF" w:rsidRDefault="00E45BEF"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52-20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C1F232"/>
    <w:multiLevelType w:val="hybridMultilevel"/>
    <w:tmpl w:val="1027C3F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A4520C5"/>
    <w:multiLevelType w:val="hybridMultilevel"/>
    <w:tmpl w:val="B6046F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A7B983E"/>
    <w:multiLevelType w:val="hybridMultilevel"/>
    <w:tmpl w:val="37470D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E540AB8"/>
    <w:multiLevelType w:val="hybridMultilevel"/>
    <w:tmpl w:val="0F06B4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abstractNum w:abstractNumId="6">
    <w:nsid w:val="390951A4"/>
    <w:multiLevelType w:val="hybridMultilevel"/>
    <w:tmpl w:val="525ADA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9B6EE39"/>
    <w:multiLevelType w:val="hybridMultilevel"/>
    <w:tmpl w:val="549D06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7"/>
  </w:num>
  <w:num w:numId="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740"/>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46DA"/>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6FCB"/>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360"/>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55DD"/>
    <w:rsid w:val="00207A71"/>
    <w:rsid w:val="00207B67"/>
    <w:rsid w:val="00207C60"/>
    <w:rsid w:val="0021050C"/>
    <w:rsid w:val="00211589"/>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5665"/>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3CD3"/>
    <w:rsid w:val="002A6A09"/>
    <w:rsid w:val="002A7F6A"/>
    <w:rsid w:val="002B06F2"/>
    <w:rsid w:val="002B09F0"/>
    <w:rsid w:val="002B1B93"/>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2D0"/>
    <w:rsid w:val="002D2CB1"/>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46BBA"/>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4F45"/>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1B91"/>
    <w:rsid w:val="004A35A9"/>
    <w:rsid w:val="004A3EB9"/>
    <w:rsid w:val="004A4833"/>
    <w:rsid w:val="004A6946"/>
    <w:rsid w:val="004A6EF0"/>
    <w:rsid w:val="004B103F"/>
    <w:rsid w:val="004B35EC"/>
    <w:rsid w:val="004B38FD"/>
    <w:rsid w:val="004B3914"/>
    <w:rsid w:val="004B449C"/>
    <w:rsid w:val="004B5152"/>
    <w:rsid w:val="004B5AF4"/>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19F5"/>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25B08"/>
    <w:rsid w:val="00533CC1"/>
    <w:rsid w:val="00533E65"/>
    <w:rsid w:val="005364FD"/>
    <w:rsid w:val="0054032C"/>
    <w:rsid w:val="005424B1"/>
    <w:rsid w:val="00545CEE"/>
    <w:rsid w:val="005463F4"/>
    <w:rsid w:val="005475F9"/>
    <w:rsid w:val="00550055"/>
    <w:rsid w:val="005516F1"/>
    <w:rsid w:val="00551A1F"/>
    <w:rsid w:val="00551FD0"/>
    <w:rsid w:val="00552363"/>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01A6"/>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E73EF"/>
    <w:rsid w:val="005F0207"/>
    <w:rsid w:val="005F022C"/>
    <w:rsid w:val="005F082E"/>
    <w:rsid w:val="005F3248"/>
    <w:rsid w:val="005F3E45"/>
    <w:rsid w:val="005F5E8E"/>
    <w:rsid w:val="005F7C03"/>
    <w:rsid w:val="0060159C"/>
    <w:rsid w:val="00604168"/>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460E9"/>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155"/>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1A6"/>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275EE"/>
    <w:rsid w:val="0073324B"/>
    <w:rsid w:val="00734D09"/>
    <w:rsid w:val="00736B72"/>
    <w:rsid w:val="00740009"/>
    <w:rsid w:val="0074014A"/>
    <w:rsid w:val="00740D85"/>
    <w:rsid w:val="00742655"/>
    <w:rsid w:val="00742FF7"/>
    <w:rsid w:val="00744838"/>
    <w:rsid w:val="00745098"/>
    <w:rsid w:val="0074517C"/>
    <w:rsid w:val="007459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4453"/>
    <w:rsid w:val="00795535"/>
    <w:rsid w:val="00796D04"/>
    <w:rsid w:val="00797DB5"/>
    <w:rsid w:val="007A031D"/>
    <w:rsid w:val="007A076D"/>
    <w:rsid w:val="007A16AD"/>
    <w:rsid w:val="007A195E"/>
    <w:rsid w:val="007A4AB4"/>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2EE9"/>
    <w:rsid w:val="007C4249"/>
    <w:rsid w:val="007C46AD"/>
    <w:rsid w:val="007D0CCE"/>
    <w:rsid w:val="007D1F51"/>
    <w:rsid w:val="007D3198"/>
    <w:rsid w:val="007D3EA1"/>
    <w:rsid w:val="007D3FD1"/>
    <w:rsid w:val="007D44F7"/>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5FC"/>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416"/>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4ED"/>
    <w:rsid w:val="008B169F"/>
    <w:rsid w:val="008B173D"/>
    <w:rsid w:val="008B30ED"/>
    <w:rsid w:val="008B32BE"/>
    <w:rsid w:val="008B4734"/>
    <w:rsid w:val="008B48AF"/>
    <w:rsid w:val="008B4F6A"/>
    <w:rsid w:val="008B6E61"/>
    <w:rsid w:val="008C04BC"/>
    <w:rsid w:val="008C1537"/>
    <w:rsid w:val="008C19D9"/>
    <w:rsid w:val="008C1B3A"/>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AFE"/>
    <w:rsid w:val="00920F26"/>
    <w:rsid w:val="0092243A"/>
    <w:rsid w:val="00922DFF"/>
    <w:rsid w:val="009231E6"/>
    <w:rsid w:val="00924079"/>
    <w:rsid w:val="00925EA7"/>
    <w:rsid w:val="00926906"/>
    <w:rsid w:val="00930925"/>
    <w:rsid w:val="00933984"/>
    <w:rsid w:val="00934DB4"/>
    <w:rsid w:val="00935DC5"/>
    <w:rsid w:val="00943E8A"/>
    <w:rsid w:val="009454BF"/>
    <w:rsid w:val="0094628C"/>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16CD"/>
    <w:rsid w:val="00995678"/>
    <w:rsid w:val="0099766E"/>
    <w:rsid w:val="009A4981"/>
    <w:rsid w:val="009A5003"/>
    <w:rsid w:val="009A513D"/>
    <w:rsid w:val="009B1798"/>
    <w:rsid w:val="009B23B8"/>
    <w:rsid w:val="009B38E7"/>
    <w:rsid w:val="009B5379"/>
    <w:rsid w:val="009B5884"/>
    <w:rsid w:val="009B6D59"/>
    <w:rsid w:val="009C0E48"/>
    <w:rsid w:val="009C1D51"/>
    <w:rsid w:val="009C1F29"/>
    <w:rsid w:val="009C278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A78"/>
    <w:rsid w:val="009F6FFB"/>
    <w:rsid w:val="00A00809"/>
    <w:rsid w:val="00A03DB9"/>
    <w:rsid w:val="00A0449D"/>
    <w:rsid w:val="00A056CB"/>
    <w:rsid w:val="00A064DD"/>
    <w:rsid w:val="00A06CC3"/>
    <w:rsid w:val="00A0771F"/>
    <w:rsid w:val="00A0791D"/>
    <w:rsid w:val="00A1073A"/>
    <w:rsid w:val="00A110AB"/>
    <w:rsid w:val="00A11501"/>
    <w:rsid w:val="00A12FEA"/>
    <w:rsid w:val="00A15786"/>
    <w:rsid w:val="00A15D1D"/>
    <w:rsid w:val="00A17730"/>
    <w:rsid w:val="00A20A80"/>
    <w:rsid w:val="00A222F8"/>
    <w:rsid w:val="00A22916"/>
    <w:rsid w:val="00A2454C"/>
    <w:rsid w:val="00A26B26"/>
    <w:rsid w:val="00A27C2E"/>
    <w:rsid w:val="00A31925"/>
    <w:rsid w:val="00A3209A"/>
    <w:rsid w:val="00A377D1"/>
    <w:rsid w:val="00A43FFC"/>
    <w:rsid w:val="00A47B56"/>
    <w:rsid w:val="00A47D12"/>
    <w:rsid w:val="00A47E9E"/>
    <w:rsid w:val="00A502B6"/>
    <w:rsid w:val="00A510CA"/>
    <w:rsid w:val="00A51C02"/>
    <w:rsid w:val="00A52162"/>
    <w:rsid w:val="00A57ABE"/>
    <w:rsid w:val="00A6102A"/>
    <w:rsid w:val="00A610F2"/>
    <w:rsid w:val="00A635DA"/>
    <w:rsid w:val="00A64E2A"/>
    <w:rsid w:val="00A66110"/>
    <w:rsid w:val="00A661EA"/>
    <w:rsid w:val="00A70AD1"/>
    <w:rsid w:val="00A70E13"/>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3FAC"/>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45D0"/>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76CA8"/>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5447"/>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57"/>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ABE"/>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37E1"/>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6D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112"/>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6F9C"/>
    <w:rsid w:val="00E17A15"/>
    <w:rsid w:val="00E208A5"/>
    <w:rsid w:val="00E20908"/>
    <w:rsid w:val="00E20E7A"/>
    <w:rsid w:val="00E20E89"/>
    <w:rsid w:val="00E26C42"/>
    <w:rsid w:val="00E27D8A"/>
    <w:rsid w:val="00E33D8F"/>
    <w:rsid w:val="00E35D3D"/>
    <w:rsid w:val="00E40D9C"/>
    <w:rsid w:val="00E4269E"/>
    <w:rsid w:val="00E42CF2"/>
    <w:rsid w:val="00E448B5"/>
    <w:rsid w:val="00E45BEF"/>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3EEA"/>
    <w:rsid w:val="00EA4478"/>
    <w:rsid w:val="00EA482E"/>
    <w:rsid w:val="00EA6378"/>
    <w:rsid w:val="00EA672A"/>
    <w:rsid w:val="00EA770C"/>
    <w:rsid w:val="00EB166D"/>
    <w:rsid w:val="00EB1FF8"/>
    <w:rsid w:val="00EB3536"/>
    <w:rsid w:val="00EB4775"/>
    <w:rsid w:val="00EB53F9"/>
    <w:rsid w:val="00EB5F3E"/>
    <w:rsid w:val="00EC0791"/>
    <w:rsid w:val="00EC28AC"/>
    <w:rsid w:val="00ED044B"/>
    <w:rsid w:val="00ED189B"/>
    <w:rsid w:val="00ED4588"/>
    <w:rsid w:val="00ED4841"/>
    <w:rsid w:val="00ED64C2"/>
    <w:rsid w:val="00ED6B94"/>
    <w:rsid w:val="00EE1998"/>
    <w:rsid w:val="00EE2967"/>
    <w:rsid w:val="00EE5513"/>
    <w:rsid w:val="00EE5F1B"/>
    <w:rsid w:val="00EE618C"/>
    <w:rsid w:val="00EE6202"/>
    <w:rsid w:val="00EE7AB9"/>
    <w:rsid w:val="00EE7B28"/>
    <w:rsid w:val="00EF0D12"/>
    <w:rsid w:val="00EF15B1"/>
    <w:rsid w:val="00EF1D55"/>
    <w:rsid w:val="00EF2012"/>
    <w:rsid w:val="00EF21F4"/>
    <w:rsid w:val="00EF2DCE"/>
    <w:rsid w:val="00EF436D"/>
    <w:rsid w:val="00EF4ABA"/>
    <w:rsid w:val="00EF5EA1"/>
    <w:rsid w:val="00F026D0"/>
    <w:rsid w:val="00F0430C"/>
    <w:rsid w:val="00F055C2"/>
    <w:rsid w:val="00F05603"/>
    <w:rsid w:val="00F11F29"/>
    <w:rsid w:val="00F12F88"/>
    <w:rsid w:val="00F12FB3"/>
    <w:rsid w:val="00F153C0"/>
    <w:rsid w:val="00F20582"/>
    <w:rsid w:val="00F23613"/>
    <w:rsid w:val="00F23F4D"/>
    <w:rsid w:val="00F25F0A"/>
    <w:rsid w:val="00F30AF8"/>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BB2"/>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 w:id="2079204261">
      <w:bodyDiv w:val="1"/>
      <w:marLeft w:val="0"/>
      <w:marRight w:val="0"/>
      <w:marTop w:val="0"/>
      <w:marBottom w:val="0"/>
      <w:divBdr>
        <w:top w:val="none" w:sz="0" w:space="0" w:color="auto"/>
        <w:left w:val="none" w:sz="0" w:space="0" w:color="auto"/>
        <w:bottom w:val="none" w:sz="0" w:space="0" w:color="auto"/>
        <w:right w:val="none" w:sz="0" w:space="0" w:color="auto"/>
      </w:divBdr>
    </w:div>
    <w:div w:id="211420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fobae.com/autor/damian-di-p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erreparmail.com/access.epl?shopperID=902707&amp;actionCode=56806&amp;enterCode=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ol.errepar.com/sitios/ver/html/20201221140906769.html" TargetMode="External"/><Relationship Id="rId4" Type="http://schemas.openxmlformats.org/officeDocument/2006/relationships/settings" Target="settings.xml"/><Relationship Id="rId9" Type="http://schemas.openxmlformats.org/officeDocument/2006/relationships/hyperlink" Target="http://eol.errepar.com/sitios/ver/html/20201221140906769.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803F3-F497-4D70-BBF1-8945A499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2262</Words>
  <Characters>12441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5</cp:revision>
  <dcterms:created xsi:type="dcterms:W3CDTF">2020-12-26T00:02:00Z</dcterms:created>
  <dcterms:modified xsi:type="dcterms:W3CDTF">2020-12-26T00:42:00Z</dcterms:modified>
</cp:coreProperties>
</file>